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4F0F" w:rsidRPr="00692695" w:rsidRDefault="004D7E20" w:rsidP="009B5411">
      <w:pPr>
        <w:spacing w:after="120"/>
        <w:rPr>
          <w:b/>
          <w:caps/>
          <w:sz w:val="22"/>
          <w:szCs w:val="22"/>
        </w:rPr>
      </w:pPr>
      <w:r>
        <w:rPr>
          <w:b/>
          <w:caps/>
          <w:sz w:val="22"/>
          <w:szCs w:val="22"/>
        </w:rPr>
        <w:t>Permittee</w:t>
      </w:r>
    </w:p>
    <w:tbl>
      <w:tblPr>
        <w:tblW w:w="10512" w:type="dxa"/>
        <w:tblInd w:w="18" w:type="dxa"/>
        <w:tblLayout w:type="fixed"/>
        <w:tblCellMar>
          <w:top w:w="43" w:type="dxa"/>
          <w:left w:w="72" w:type="dxa"/>
          <w:bottom w:w="43" w:type="dxa"/>
          <w:right w:w="72" w:type="dxa"/>
        </w:tblCellMar>
        <w:tblLook w:val="0000" w:firstRow="0" w:lastRow="0" w:firstColumn="0" w:lastColumn="0" w:noHBand="0" w:noVBand="0"/>
      </w:tblPr>
      <w:tblGrid>
        <w:gridCol w:w="5652"/>
        <w:gridCol w:w="4860"/>
      </w:tblGrid>
      <w:tr w:rsidR="00157EA9" w:rsidRPr="00692695" w:rsidTr="003C6402">
        <w:trPr>
          <w:cantSplit/>
          <w:trHeight w:val="1361"/>
        </w:trPr>
        <w:tc>
          <w:tcPr>
            <w:tcW w:w="5652" w:type="dxa"/>
          </w:tcPr>
          <w:p w:rsidR="00CA39E8" w:rsidRPr="00CA39E8" w:rsidRDefault="00CA39E8" w:rsidP="00CA39E8">
            <w:pPr>
              <w:rPr>
                <w:sz w:val="22"/>
                <w:szCs w:val="22"/>
              </w:rPr>
            </w:pPr>
            <w:r w:rsidRPr="00CA39E8">
              <w:rPr>
                <w:sz w:val="22"/>
                <w:szCs w:val="22"/>
              </w:rPr>
              <w:t>Shady Hills Energy Center, LLC</w:t>
            </w:r>
          </w:p>
          <w:p w:rsidR="00CA39E8" w:rsidRPr="00CA39E8" w:rsidRDefault="00CA39E8" w:rsidP="00CA39E8">
            <w:pPr>
              <w:rPr>
                <w:sz w:val="22"/>
                <w:szCs w:val="22"/>
              </w:rPr>
            </w:pPr>
            <w:r w:rsidRPr="00CA39E8">
              <w:rPr>
                <w:sz w:val="22"/>
                <w:szCs w:val="22"/>
              </w:rPr>
              <w:t>901 Main Avenue</w:t>
            </w:r>
          </w:p>
          <w:p w:rsidR="00015819" w:rsidRPr="000472DA" w:rsidRDefault="00CA39E8" w:rsidP="003C6402">
            <w:pPr>
              <w:tabs>
                <w:tab w:val="center" w:pos="3168"/>
                <w:tab w:val="left" w:pos="3240"/>
                <w:tab w:val="left" w:pos="3615"/>
              </w:tabs>
              <w:spacing w:after="120"/>
              <w:rPr>
                <w:sz w:val="22"/>
                <w:szCs w:val="22"/>
              </w:rPr>
            </w:pPr>
            <w:r w:rsidRPr="00CA39E8">
              <w:rPr>
                <w:sz w:val="22"/>
                <w:szCs w:val="22"/>
              </w:rPr>
              <w:t>Norwalk, Connecticut 06851</w:t>
            </w:r>
          </w:p>
          <w:p w:rsidR="00015819" w:rsidRPr="002C1D42" w:rsidRDefault="00015819" w:rsidP="00015819">
            <w:pPr>
              <w:rPr>
                <w:sz w:val="22"/>
                <w:szCs w:val="22"/>
              </w:rPr>
            </w:pPr>
            <w:r w:rsidRPr="002C1D42">
              <w:rPr>
                <w:sz w:val="22"/>
                <w:szCs w:val="22"/>
              </w:rPr>
              <w:t>Authorized Representative:</w:t>
            </w:r>
          </w:p>
          <w:p w:rsidR="00D8657D" w:rsidRPr="00692695" w:rsidRDefault="002525E4" w:rsidP="00A51897">
            <w:pPr>
              <w:widowControl w:val="0"/>
              <w:ind w:left="360"/>
              <w:rPr>
                <w:sz w:val="22"/>
                <w:szCs w:val="22"/>
              </w:rPr>
            </w:pPr>
            <w:r>
              <w:rPr>
                <w:sz w:val="22"/>
                <w:szCs w:val="22"/>
              </w:rPr>
              <w:t>Roy</w:t>
            </w:r>
            <w:r w:rsidR="003E078B">
              <w:rPr>
                <w:sz w:val="22"/>
                <w:szCs w:val="22"/>
              </w:rPr>
              <w:t xml:space="preserve"> S.</w:t>
            </w:r>
            <w:r>
              <w:rPr>
                <w:sz w:val="22"/>
                <w:szCs w:val="22"/>
              </w:rPr>
              <w:t xml:space="preserve"> Belden, Vice President</w:t>
            </w:r>
          </w:p>
        </w:tc>
        <w:tc>
          <w:tcPr>
            <w:tcW w:w="4860" w:type="dxa"/>
          </w:tcPr>
          <w:p w:rsidR="00916109" w:rsidRPr="00692695" w:rsidRDefault="00916109" w:rsidP="003C6402">
            <w:pPr>
              <w:ind w:left="30"/>
              <w:jc w:val="right"/>
              <w:rPr>
                <w:sz w:val="22"/>
                <w:szCs w:val="22"/>
              </w:rPr>
            </w:pPr>
            <w:r w:rsidRPr="00692695">
              <w:rPr>
                <w:sz w:val="22"/>
                <w:szCs w:val="22"/>
              </w:rPr>
              <w:t>Air Permit No</w:t>
            </w:r>
            <w:r w:rsidRPr="00B519E0">
              <w:rPr>
                <w:sz w:val="22"/>
                <w:szCs w:val="22"/>
              </w:rPr>
              <w:t xml:space="preserve">. </w:t>
            </w:r>
            <w:r w:rsidR="00CA39E8" w:rsidRPr="00B519E0">
              <w:rPr>
                <w:sz w:val="22"/>
                <w:szCs w:val="22"/>
              </w:rPr>
              <w:t>1010</w:t>
            </w:r>
            <w:r w:rsidR="00B519E0" w:rsidRPr="00B519E0">
              <w:rPr>
                <w:sz w:val="22"/>
                <w:szCs w:val="22"/>
              </w:rPr>
              <w:t>524</w:t>
            </w:r>
            <w:r w:rsidR="00CA39E8" w:rsidRPr="00B519E0">
              <w:rPr>
                <w:sz w:val="22"/>
                <w:szCs w:val="22"/>
              </w:rPr>
              <w:t>-</w:t>
            </w:r>
            <w:r w:rsidR="00B519E0">
              <w:rPr>
                <w:sz w:val="22"/>
                <w:szCs w:val="22"/>
              </w:rPr>
              <w:t>001</w:t>
            </w:r>
            <w:r w:rsidR="00CA39E8" w:rsidRPr="00CA39E8">
              <w:rPr>
                <w:sz w:val="22"/>
                <w:szCs w:val="22"/>
              </w:rPr>
              <w:t>-AC</w:t>
            </w:r>
            <w:r w:rsidR="002525E4" w:rsidRPr="00E461C7">
              <w:rPr>
                <w:sz w:val="22"/>
                <w:szCs w:val="22"/>
              </w:rPr>
              <w:t xml:space="preserve"> </w:t>
            </w:r>
            <w:r w:rsidR="00C15AD5">
              <w:rPr>
                <w:sz w:val="22"/>
                <w:szCs w:val="22"/>
              </w:rPr>
              <w:t>(</w:t>
            </w:r>
            <w:r w:rsidR="002525E4" w:rsidRPr="00E461C7">
              <w:rPr>
                <w:sz w:val="22"/>
                <w:szCs w:val="22"/>
              </w:rPr>
              <w:t>PSD-FL-</w:t>
            </w:r>
            <w:r w:rsidR="002525E4">
              <w:rPr>
                <w:sz w:val="22"/>
                <w:szCs w:val="22"/>
              </w:rPr>
              <w:t>444</w:t>
            </w:r>
            <w:r w:rsidR="00C15AD5">
              <w:rPr>
                <w:sz w:val="22"/>
                <w:szCs w:val="22"/>
              </w:rPr>
              <w:t>)</w:t>
            </w:r>
          </w:p>
          <w:p w:rsidR="00015819" w:rsidRPr="00B31262" w:rsidRDefault="00015819" w:rsidP="003C6402">
            <w:pPr>
              <w:jc w:val="right"/>
              <w:rPr>
                <w:sz w:val="22"/>
                <w:szCs w:val="22"/>
              </w:rPr>
            </w:pPr>
            <w:r>
              <w:rPr>
                <w:sz w:val="22"/>
                <w:szCs w:val="22"/>
              </w:rPr>
              <w:t>Ex</w:t>
            </w:r>
            <w:r w:rsidRPr="00692695">
              <w:rPr>
                <w:sz w:val="22"/>
                <w:szCs w:val="22"/>
              </w:rPr>
              <w:t xml:space="preserve">pires:  </w:t>
            </w:r>
            <w:r w:rsidR="00B31262" w:rsidRPr="00B31262">
              <w:rPr>
                <w:sz w:val="22"/>
                <w:szCs w:val="22"/>
              </w:rPr>
              <w:t>December 31, 2022</w:t>
            </w:r>
          </w:p>
          <w:p w:rsidR="00916109" w:rsidRPr="00692695" w:rsidRDefault="00916109" w:rsidP="003C6402">
            <w:pPr>
              <w:jc w:val="right"/>
              <w:rPr>
                <w:sz w:val="22"/>
                <w:szCs w:val="22"/>
              </w:rPr>
            </w:pPr>
            <w:r w:rsidRPr="00692695">
              <w:rPr>
                <w:sz w:val="22"/>
                <w:szCs w:val="22"/>
              </w:rPr>
              <w:t xml:space="preserve">Facility ID No. </w:t>
            </w:r>
            <w:r w:rsidR="00B519E0">
              <w:rPr>
                <w:sz w:val="22"/>
                <w:szCs w:val="22"/>
              </w:rPr>
              <w:t>1010524</w:t>
            </w:r>
          </w:p>
          <w:p w:rsidR="00157EA9" w:rsidRPr="00692695" w:rsidRDefault="002525E4" w:rsidP="003C6402">
            <w:pPr>
              <w:widowControl w:val="0"/>
              <w:jc w:val="right"/>
              <w:rPr>
                <w:b/>
                <w:bCs/>
                <w:sz w:val="22"/>
                <w:szCs w:val="22"/>
              </w:rPr>
            </w:pPr>
            <w:r w:rsidRPr="002525E4">
              <w:rPr>
                <w:sz w:val="22"/>
                <w:szCs w:val="22"/>
              </w:rPr>
              <w:t>Shady Hills Combined Cycle Facility</w:t>
            </w:r>
          </w:p>
        </w:tc>
      </w:tr>
    </w:tbl>
    <w:p w:rsidR="00E461C7" w:rsidRPr="000472DA" w:rsidRDefault="00E461C7" w:rsidP="002525E4">
      <w:pPr>
        <w:pStyle w:val="Caption"/>
        <w:spacing w:before="120"/>
        <w:rPr>
          <w:szCs w:val="22"/>
        </w:rPr>
      </w:pPr>
      <w:r>
        <w:rPr>
          <w:szCs w:val="22"/>
        </w:rPr>
        <w:t>Project</w:t>
      </w:r>
    </w:p>
    <w:p w:rsidR="00E461C7" w:rsidRDefault="00E461C7" w:rsidP="00B31262">
      <w:pPr>
        <w:pStyle w:val="BodyText3"/>
        <w:jc w:val="left"/>
        <w:rPr>
          <w:szCs w:val="22"/>
        </w:rPr>
      </w:pPr>
      <w:r>
        <w:rPr>
          <w:szCs w:val="22"/>
        </w:rPr>
        <w:t>This</w:t>
      </w:r>
      <w:r w:rsidRPr="00431B1F">
        <w:rPr>
          <w:szCs w:val="22"/>
        </w:rPr>
        <w:t xml:space="preserve"> is the final air construction permit, which authorizes</w:t>
      </w:r>
      <w:r w:rsidRPr="000472DA">
        <w:rPr>
          <w:szCs w:val="22"/>
        </w:rPr>
        <w:t xml:space="preserve"> </w:t>
      </w:r>
      <w:r w:rsidR="00E610D3" w:rsidRPr="00E610D3">
        <w:rPr>
          <w:szCs w:val="22"/>
        </w:rPr>
        <w:t>the construction and operation of</w:t>
      </w:r>
      <w:r w:rsidR="00D617FD" w:rsidRPr="00D617FD">
        <w:rPr>
          <w:szCs w:val="22"/>
        </w:rPr>
        <w:t xml:space="preserve"> </w:t>
      </w:r>
      <w:r w:rsidR="00D617FD">
        <w:rPr>
          <w:szCs w:val="22"/>
        </w:rPr>
        <w:t>the Shady Hills Combined Cycle Facility</w:t>
      </w:r>
      <w:r w:rsidR="00D617FD" w:rsidRPr="00E610D3">
        <w:rPr>
          <w:szCs w:val="22"/>
        </w:rPr>
        <w:t xml:space="preserve"> (</w:t>
      </w:r>
      <w:r w:rsidR="00D617FD">
        <w:rPr>
          <w:szCs w:val="22"/>
        </w:rPr>
        <w:t>SHCCF</w:t>
      </w:r>
      <w:r w:rsidR="00D617FD" w:rsidRPr="00E610D3">
        <w:rPr>
          <w:szCs w:val="22"/>
        </w:rPr>
        <w:t>)</w:t>
      </w:r>
      <w:r w:rsidR="00D617FD">
        <w:rPr>
          <w:szCs w:val="22"/>
        </w:rPr>
        <w:t>,</w:t>
      </w:r>
      <w:r w:rsidR="00E610D3" w:rsidRPr="00E610D3">
        <w:rPr>
          <w:szCs w:val="22"/>
        </w:rPr>
        <w:t xml:space="preserve"> a n</w:t>
      </w:r>
      <w:r w:rsidR="00E67F0F">
        <w:rPr>
          <w:szCs w:val="22"/>
        </w:rPr>
        <w:t xml:space="preserve">ew 573-megawatt (MW) </w:t>
      </w:r>
      <w:r w:rsidR="00B31262" w:rsidRPr="00B31262">
        <w:rPr>
          <w:szCs w:val="22"/>
        </w:rPr>
        <w:t>(winter) 1-on-1 combined cycle electrical</w:t>
      </w:r>
      <w:r w:rsidR="00B31262">
        <w:rPr>
          <w:szCs w:val="22"/>
        </w:rPr>
        <w:t xml:space="preserve"> </w:t>
      </w:r>
      <w:r w:rsidR="00B31262" w:rsidRPr="00B31262">
        <w:rPr>
          <w:szCs w:val="22"/>
        </w:rPr>
        <w:t>generating facility to be owned and operated by Shady Hills Energy Center, LLC.</w:t>
      </w:r>
      <w:r w:rsidR="00120D2A">
        <w:rPr>
          <w:szCs w:val="22"/>
        </w:rPr>
        <w:t xml:space="preserve"> </w:t>
      </w:r>
      <w:r w:rsidR="00B31262" w:rsidRPr="00B31262">
        <w:rPr>
          <w:szCs w:val="22"/>
        </w:rPr>
        <w:t xml:space="preserve"> The proposed work will be</w:t>
      </w:r>
      <w:r w:rsidR="00B31262">
        <w:rPr>
          <w:szCs w:val="22"/>
        </w:rPr>
        <w:t xml:space="preserve"> </w:t>
      </w:r>
      <w:r w:rsidR="00B31262" w:rsidRPr="00B31262">
        <w:rPr>
          <w:szCs w:val="22"/>
        </w:rPr>
        <w:t>conducted on an approximately 14-acre parcel east of and located adjacent to the existing Shady Hills</w:t>
      </w:r>
      <w:r w:rsidR="00B31262">
        <w:rPr>
          <w:szCs w:val="22"/>
        </w:rPr>
        <w:t xml:space="preserve"> </w:t>
      </w:r>
      <w:r w:rsidR="00B31262" w:rsidRPr="00B31262">
        <w:rPr>
          <w:szCs w:val="22"/>
        </w:rPr>
        <w:t>Generating Station (SHGS) power island, which is owned and operated by Shady Hills Power Company, L.L.C.</w:t>
      </w:r>
      <w:r w:rsidRPr="000472DA">
        <w:rPr>
          <w:szCs w:val="22"/>
        </w:rPr>
        <w:t xml:space="preserve">  </w:t>
      </w:r>
      <w:r>
        <w:rPr>
          <w:szCs w:val="22"/>
        </w:rPr>
        <w:t xml:space="preserve">The </w:t>
      </w:r>
      <w:r w:rsidR="00D617FD">
        <w:rPr>
          <w:szCs w:val="22"/>
        </w:rPr>
        <w:t>SHGS</w:t>
      </w:r>
      <w:r w:rsidRPr="000472DA">
        <w:rPr>
          <w:szCs w:val="22"/>
        </w:rPr>
        <w:t xml:space="preserve"> is </w:t>
      </w:r>
      <w:r w:rsidR="000D5F21" w:rsidRPr="000D5F21">
        <w:rPr>
          <w:szCs w:val="22"/>
        </w:rPr>
        <w:t>an electric generating power plant categorized under Standard Industrial Classification No. 4911.</w:t>
      </w:r>
      <w:r w:rsidR="00476C91">
        <w:rPr>
          <w:szCs w:val="22"/>
        </w:rPr>
        <w:t xml:space="preserve"> </w:t>
      </w:r>
      <w:r w:rsidR="000D5F21" w:rsidRPr="000D5F21">
        <w:rPr>
          <w:szCs w:val="22"/>
        </w:rPr>
        <w:t xml:space="preserve"> The existing facility is in Pasco County at 14240 Merchant Energy Way in Shady Hills, Florida.  The UTM coordinates are Zone 17, 347.0 kilometers (km) East and 3,139.0 km North</w:t>
      </w:r>
      <w:r w:rsidRPr="000472DA">
        <w:rPr>
          <w:szCs w:val="22"/>
        </w:rPr>
        <w:t xml:space="preserve">.  </w:t>
      </w:r>
    </w:p>
    <w:p w:rsidR="00E461C7" w:rsidRDefault="00E461C7" w:rsidP="00E461C7">
      <w:pPr>
        <w:pStyle w:val="BodyText3"/>
        <w:jc w:val="left"/>
        <w:rPr>
          <w:szCs w:val="22"/>
        </w:rPr>
      </w:pPr>
      <w:r>
        <w:rPr>
          <w:szCs w:val="22"/>
        </w:rPr>
        <w:t xml:space="preserve">This final permit is organized into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1F1053">
        <w:rPr>
          <w:szCs w:val="22"/>
        </w:rPr>
        <w:t xml:space="preserve">and </w:t>
      </w:r>
      <w:r w:rsidRPr="00877418">
        <w:rPr>
          <w:szCs w:val="22"/>
        </w:rPr>
        <w:t>Section 4</w:t>
      </w:r>
      <w:r>
        <w:rPr>
          <w:szCs w:val="22"/>
        </w:rPr>
        <w:t xml:space="preserve"> (</w:t>
      </w:r>
      <w:r w:rsidRPr="00877418">
        <w:rPr>
          <w:szCs w:val="22"/>
        </w:rPr>
        <w:t>Appendices</w:t>
      </w:r>
      <w:r>
        <w:rPr>
          <w:szCs w:val="22"/>
        </w:rPr>
        <w:t>).  Because of the technical nature of the project, the permit contains numerous acronyms and abbreviations, which are defined in Appendix A of Section 4 of this permit.</w:t>
      </w:r>
      <w:r w:rsidRPr="00047F18">
        <w:rPr>
          <w:szCs w:val="22"/>
        </w:rPr>
        <w:t xml:space="preserve"> </w:t>
      </w:r>
    </w:p>
    <w:p w:rsidR="00E461C7" w:rsidRPr="00692695" w:rsidRDefault="00E461C7" w:rsidP="00E461C7">
      <w:pPr>
        <w:spacing w:before="120" w:after="120"/>
        <w:rPr>
          <w:b/>
          <w:caps/>
          <w:sz w:val="22"/>
          <w:szCs w:val="22"/>
        </w:rPr>
      </w:pPr>
      <w:r w:rsidRPr="00692695">
        <w:rPr>
          <w:b/>
          <w:caps/>
          <w:sz w:val="22"/>
          <w:szCs w:val="22"/>
        </w:rPr>
        <w:t>Statement of Basis</w:t>
      </w:r>
    </w:p>
    <w:p w:rsidR="00E461C7" w:rsidRDefault="00E461C7" w:rsidP="00E461C7">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the preconstruction review requirements for major stationary sources in Rule 62-212.400, F.A.C. for the Prevention of Significant Deterioration (PSD) of Air Quality.</w:t>
      </w:r>
    </w:p>
    <w:p w:rsidR="00E461C7" w:rsidRDefault="00E461C7" w:rsidP="00E461C7">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824A5A" w:rsidRPr="00824A5A" w:rsidRDefault="00824A5A" w:rsidP="00355AEB">
      <w:pPr>
        <w:rPr>
          <w:sz w:val="22"/>
          <w:szCs w:val="22"/>
        </w:rPr>
      </w:pPr>
      <w:r w:rsidRPr="00824A5A">
        <w:rPr>
          <w:sz w:val="22"/>
          <w:szCs w:val="22"/>
        </w:rPr>
        <w:t>Executed in Tallahassee, Florida</w:t>
      </w:r>
    </w:p>
    <w:p w:rsidR="00790EC6" w:rsidRDefault="00790EC6" w:rsidP="00355AEB">
      <w:pPr>
        <w:rPr>
          <w:sz w:val="22"/>
          <w:szCs w:val="22"/>
          <w:highlight w:val="yellow"/>
        </w:rPr>
      </w:pPr>
    </w:p>
    <w:p w:rsidR="003C6402" w:rsidRDefault="003C6402" w:rsidP="00355AEB">
      <w:pPr>
        <w:rPr>
          <w:sz w:val="22"/>
          <w:szCs w:val="22"/>
          <w:highlight w:val="yellow"/>
        </w:rPr>
      </w:pPr>
    </w:p>
    <w:p w:rsidR="00252A3C" w:rsidRDefault="00252A3C" w:rsidP="00355AEB">
      <w:pPr>
        <w:rPr>
          <w:sz w:val="22"/>
          <w:szCs w:val="22"/>
        </w:rPr>
      </w:pPr>
      <w:r w:rsidRPr="00E01210">
        <w:rPr>
          <w:sz w:val="22"/>
          <w:szCs w:val="22"/>
          <w:highlight w:val="yellow"/>
        </w:rPr>
        <w:t>(</w:t>
      </w:r>
      <w:r w:rsidRPr="003B60A2">
        <w:rPr>
          <w:b/>
          <w:sz w:val="22"/>
          <w:szCs w:val="22"/>
          <w:highlight w:val="yellow"/>
        </w:rPr>
        <w:t>DRAFT</w:t>
      </w:r>
      <w:r w:rsidRPr="00E01210">
        <w:rPr>
          <w:sz w:val="22"/>
          <w:szCs w:val="22"/>
          <w:highlight w:val="yellow"/>
        </w:rPr>
        <w:t>)</w:t>
      </w:r>
    </w:p>
    <w:p w:rsidR="002E2BEE" w:rsidRDefault="002E2BEE" w:rsidP="00355AEB">
      <w:pPr>
        <w:rPr>
          <w:sz w:val="22"/>
          <w:szCs w:val="22"/>
        </w:rPr>
      </w:pPr>
    </w:p>
    <w:p w:rsidR="006B6535" w:rsidRDefault="006B6535" w:rsidP="00355AEB">
      <w:pPr>
        <w:rPr>
          <w:sz w:val="22"/>
          <w:szCs w:val="22"/>
        </w:rPr>
      </w:pPr>
    </w:p>
    <w:p w:rsidR="003C6402" w:rsidRPr="006B6535" w:rsidRDefault="006B6535" w:rsidP="00355AEB">
      <w:pPr>
        <w:rPr>
          <w:i/>
          <w:sz w:val="22"/>
          <w:szCs w:val="22"/>
        </w:rPr>
      </w:pPr>
      <w:r w:rsidRPr="006B6535">
        <w:rPr>
          <w:i/>
          <w:sz w:val="22"/>
          <w:szCs w:val="22"/>
        </w:rPr>
        <w:t>For:</w:t>
      </w:r>
    </w:p>
    <w:p w:rsidR="007E4D52" w:rsidRPr="007E4D52" w:rsidRDefault="007E4D52" w:rsidP="007E4D52">
      <w:pPr>
        <w:widowControl w:val="0"/>
        <w:tabs>
          <w:tab w:val="left" w:pos="360"/>
          <w:tab w:val="left" w:pos="7200"/>
          <w:tab w:val="left" w:pos="8910"/>
          <w:tab w:val="left" w:pos="9360"/>
        </w:tabs>
        <w:rPr>
          <w:sz w:val="22"/>
          <w:szCs w:val="22"/>
        </w:rPr>
      </w:pPr>
      <w:r w:rsidRPr="007E4D52">
        <w:rPr>
          <w:sz w:val="22"/>
          <w:szCs w:val="22"/>
        </w:rPr>
        <w:t xml:space="preserve">Syed </w:t>
      </w:r>
      <w:proofErr w:type="spellStart"/>
      <w:r w:rsidRPr="007E4D52">
        <w:rPr>
          <w:sz w:val="22"/>
          <w:szCs w:val="22"/>
        </w:rPr>
        <w:t>Arif</w:t>
      </w:r>
      <w:proofErr w:type="spellEnd"/>
      <w:r w:rsidRPr="007E4D52">
        <w:rPr>
          <w:sz w:val="22"/>
          <w:szCs w:val="22"/>
        </w:rPr>
        <w:t>, P.E., Program Administrator</w:t>
      </w:r>
    </w:p>
    <w:p w:rsidR="007E4D52" w:rsidRPr="007E4D52" w:rsidRDefault="007E4D52" w:rsidP="007E4D52">
      <w:pPr>
        <w:widowControl w:val="0"/>
        <w:tabs>
          <w:tab w:val="left" w:pos="360"/>
          <w:tab w:val="left" w:pos="7200"/>
          <w:tab w:val="left" w:pos="8910"/>
          <w:tab w:val="left" w:pos="9360"/>
        </w:tabs>
        <w:rPr>
          <w:sz w:val="22"/>
          <w:szCs w:val="22"/>
        </w:rPr>
      </w:pPr>
      <w:r w:rsidRPr="007E4D52">
        <w:rPr>
          <w:sz w:val="22"/>
          <w:szCs w:val="22"/>
        </w:rPr>
        <w:t>Office of Permitting and Compliance</w:t>
      </w:r>
    </w:p>
    <w:p w:rsidR="002E2BEE" w:rsidRPr="00431B1F" w:rsidRDefault="002E2BEE" w:rsidP="00355AEB">
      <w:pPr>
        <w:rPr>
          <w:sz w:val="22"/>
          <w:szCs w:val="22"/>
        </w:rPr>
      </w:pPr>
      <w:r>
        <w:rPr>
          <w:sz w:val="22"/>
          <w:szCs w:val="22"/>
        </w:rPr>
        <w:t>Division of Air Resource Management</w:t>
      </w:r>
    </w:p>
    <w:p w:rsidR="00824A5A" w:rsidRPr="00824A5A" w:rsidRDefault="00824A5A" w:rsidP="00355AEB">
      <w:pPr>
        <w:rPr>
          <w:noProof/>
          <w:sz w:val="22"/>
          <w:szCs w:val="22"/>
        </w:rPr>
      </w:pPr>
    </w:p>
    <w:p w:rsidR="00824A5A" w:rsidRPr="00824A5A" w:rsidRDefault="00824A5A" w:rsidP="00355AEB">
      <w:pPr>
        <w:rPr>
          <w:b/>
          <w:caps/>
          <w:sz w:val="22"/>
          <w:szCs w:val="22"/>
        </w:rPr>
        <w:sectPr w:rsidR="00824A5A" w:rsidRPr="00824A5A" w:rsidSect="003C6402">
          <w:headerReference w:type="even" r:id="rId8"/>
          <w:headerReference w:type="default" r:id="rId9"/>
          <w:footerReference w:type="even" r:id="rId10"/>
          <w:footerReference w:type="default" r:id="rId11"/>
          <w:headerReference w:type="first" r:id="rId12"/>
          <w:pgSz w:w="12240" w:h="15840" w:code="1"/>
          <w:pgMar w:top="810" w:right="1152" w:bottom="720" w:left="1152" w:header="720" w:footer="720" w:gutter="0"/>
          <w:paperSrc w:first="15" w:other="15"/>
          <w:cols w:space="720"/>
        </w:sectPr>
      </w:pPr>
    </w:p>
    <w:p w:rsidR="00E461C7" w:rsidRPr="004C396D" w:rsidRDefault="00E461C7" w:rsidP="00E461C7">
      <w:pPr>
        <w:jc w:val="center"/>
        <w:rPr>
          <w:sz w:val="22"/>
          <w:szCs w:val="22"/>
        </w:rPr>
      </w:pPr>
    </w:p>
    <w:p w:rsidR="00E461C7" w:rsidRPr="00431B1F" w:rsidRDefault="00E461C7" w:rsidP="00E461C7">
      <w:pPr>
        <w:keepNext/>
        <w:jc w:val="center"/>
        <w:rPr>
          <w:sz w:val="22"/>
          <w:szCs w:val="22"/>
          <w:u w:val="single"/>
        </w:rPr>
      </w:pPr>
    </w:p>
    <w:p w:rsidR="00E461C7" w:rsidRPr="00431B1F" w:rsidRDefault="00E461C7" w:rsidP="00E461C7">
      <w:pPr>
        <w:keepNext/>
        <w:jc w:val="center"/>
        <w:rPr>
          <w:sz w:val="22"/>
          <w:szCs w:val="22"/>
          <w:u w:val="single"/>
        </w:rPr>
      </w:pPr>
    </w:p>
    <w:p w:rsidR="00E461C7" w:rsidRPr="004C396D" w:rsidRDefault="00E461C7" w:rsidP="00E461C7">
      <w:pPr>
        <w:pStyle w:val="Heading2"/>
        <w:numPr>
          <w:ilvl w:val="0"/>
          <w:numId w:val="0"/>
        </w:numPr>
        <w:spacing w:before="0" w:after="120"/>
        <w:jc w:val="center"/>
        <w:rPr>
          <w:rFonts w:ascii="Times New Roman" w:hAnsi="Times New Roman"/>
          <w:i w:val="0"/>
          <w:sz w:val="22"/>
          <w:szCs w:val="22"/>
        </w:rPr>
      </w:pPr>
      <w:r w:rsidRPr="004C396D">
        <w:rPr>
          <w:rFonts w:ascii="Times New Roman" w:hAnsi="Times New Roman"/>
          <w:i w:val="0"/>
          <w:sz w:val="22"/>
          <w:szCs w:val="22"/>
        </w:rPr>
        <w:t>CERTIFICATE OF SERVICE</w:t>
      </w:r>
    </w:p>
    <w:p w:rsidR="00252A3C" w:rsidRDefault="00FA6F8A" w:rsidP="00252A3C">
      <w:pPr>
        <w:widowControl w:val="0"/>
        <w:tabs>
          <w:tab w:val="left" w:pos="-720"/>
          <w:tab w:val="left" w:pos="4320"/>
        </w:tabs>
        <w:spacing w:after="240"/>
        <w:outlineLvl w:val="0"/>
        <w:rPr>
          <w:sz w:val="22"/>
          <w:szCs w:val="22"/>
        </w:rPr>
      </w:pPr>
      <w:r>
        <w:rPr>
          <w:sz w:val="22"/>
          <w:szCs w:val="22"/>
        </w:rPr>
        <w:t>The undersigned duly designated deputy agency clerk hereby certifies that this Final Air Construction Permit package was sent by electronic mail, or a link to these documents made available electronically on a publicly accessible server, with received receipt requested before the close of business on the date indicated below to the following persons.</w:t>
      </w:r>
    </w:p>
    <w:p w:rsidR="007B02D7" w:rsidRPr="007B02D7" w:rsidRDefault="007B02D7" w:rsidP="007B02D7">
      <w:pPr>
        <w:widowControl w:val="0"/>
        <w:tabs>
          <w:tab w:val="left" w:pos="-720"/>
          <w:tab w:val="left" w:pos="4320"/>
        </w:tabs>
        <w:outlineLvl w:val="0"/>
        <w:rPr>
          <w:sz w:val="22"/>
          <w:szCs w:val="22"/>
        </w:rPr>
      </w:pPr>
      <w:r w:rsidRPr="007B02D7">
        <w:rPr>
          <w:sz w:val="22"/>
          <w:szCs w:val="22"/>
        </w:rPr>
        <w:t xml:space="preserve">Mr. Roy S. Belden, Vice President, Shady Hills:  </w:t>
      </w:r>
      <w:hyperlink r:id="rId13" w:history="1">
        <w:r w:rsidRPr="007B02D7">
          <w:rPr>
            <w:color w:val="0000FF"/>
            <w:sz w:val="22"/>
            <w:szCs w:val="22"/>
            <w:u w:val="single"/>
          </w:rPr>
          <w:t>roy.belden@ge.com</w:t>
        </w:r>
      </w:hyperlink>
      <w:r w:rsidRPr="007B02D7">
        <w:rPr>
          <w:sz w:val="22"/>
          <w:szCs w:val="22"/>
        </w:rPr>
        <w:t xml:space="preserve"> </w:t>
      </w:r>
    </w:p>
    <w:p w:rsidR="007B02D7" w:rsidRPr="007B02D7" w:rsidRDefault="007B02D7" w:rsidP="007B02D7">
      <w:pPr>
        <w:widowControl w:val="0"/>
        <w:tabs>
          <w:tab w:val="left" w:pos="-720"/>
          <w:tab w:val="left" w:pos="4320"/>
        </w:tabs>
        <w:outlineLvl w:val="0"/>
        <w:rPr>
          <w:sz w:val="22"/>
          <w:szCs w:val="22"/>
        </w:rPr>
      </w:pPr>
      <w:r w:rsidRPr="007B02D7">
        <w:rPr>
          <w:sz w:val="22"/>
          <w:szCs w:val="22"/>
        </w:rPr>
        <w:t>Mr. Salahuddin K. Mohammad, P.E., Golder</w:t>
      </w:r>
      <w:r w:rsidR="00E450AE" w:rsidRPr="00E450AE">
        <w:rPr>
          <w:sz w:val="22"/>
          <w:szCs w:val="22"/>
        </w:rPr>
        <w:t xml:space="preserve"> </w:t>
      </w:r>
      <w:r w:rsidR="00E450AE" w:rsidRPr="007B02D7">
        <w:rPr>
          <w:sz w:val="22"/>
          <w:szCs w:val="22"/>
        </w:rPr>
        <w:t>Associates Inc</w:t>
      </w:r>
      <w:r w:rsidR="00E450AE">
        <w:rPr>
          <w:sz w:val="22"/>
          <w:szCs w:val="22"/>
        </w:rPr>
        <w:t>.</w:t>
      </w:r>
      <w:r w:rsidRPr="007B02D7">
        <w:rPr>
          <w:sz w:val="22"/>
          <w:szCs w:val="22"/>
        </w:rPr>
        <w:t xml:space="preserve">:  </w:t>
      </w:r>
      <w:hyperlink r:id="rId14" w:history="1">
        <w:r w:rsidRPr="007B02D7">
          <w:rPr>
            <w:color w:val="0000FF"/>
            <w:sz w:val="22"/>
            <w:szCs w:val="22"/>
            <w:u w:val="single"/>
          </w:rPr>
          <w:t>smohammad@golder.com</w:t>
        </w:r>
      </w:hyperlink>
      <w:r w:rsidRPr="007B02D7">
        <w:rPr>
          <w:sz w:val="22"/>
          <w:szCs w:val="22"/>
        </w:rPr>
        <w:t xml:space="preserve"> </w:t>
      </w:r>
    </w:p>
    <w:p w:rsidR="007B02D7" w:rsidRDefault="007B02D7" w:rsidP="007B02D7">
      <w:pPr>
        <w:widowControl w:val="0"/>
        <w:rPr>
          <w:sz w:val="22"/>
          <w:szCs w:val="22"/>
        </w:rPr>
      </w:pPr>
      <w:r>
        <w:rPr>
          <w:sz w:val="22"/>
          <w:szCs w:val="22"/>
        </w:rPr>
        <w:t xml:space="preserve">Mr. </w:t>
      </w:r>
      <w:r w:rsidRPr="007B02D7">
        <w:rPr>
          <w:sz w:val="22"/>
          <w:szCs w:val="22"/>
        </w:rPr>
        <w:t xml:space="preserve">Kennard F. </w:t>
      </w:r>
      <w:proofErr w:type="spellStart"/>
      <w:r w:rsidRPr="007B02D7">
        <w:rPr>
          <w:sz w:val="22"/>
          <w:szCs w:val="22"/>
        </w:rPr>
        <w:t>Kosky</w:t>
      </w:r>
      <w:proofErr w:type="spellEnd"/>
      <w:r w:rsidRPr="007B02D7">
        <w:rPr>
          <w:sz w:val="22"/>
          <w:szCs w:val="22"/>
        </w:rPr>
        <w:t xml:space="preserve">, P.E., Golder Associates Inc.:  </w:t>
      </w:r>
      <w:hyperlink r:id="rId15" w:history="1">
        <w:r w:rsidRPr="007B02D7">
          <w:rPr>
            <w:color w:val="0000FF"/>
            <w:sz w:val="22"/>
            <w:szCs w:val="22"/>
            <w:u w:val="single"/>
          </w:rPr>
          <w:t>Ken_Kosky@golder.com</w:t>
        </w:r>
      </w:hyperlink>
    </w:p>
    <w:p w:rsidR="006A330C" w:rsidRPr="000C5035" w:rsidRDefault="007B02D7" w:rsidP="007B02D7">
      <w:pPr>
        <w:widowControl w:val="0"/>
        <w:rPr>
          <w:sz w:val="22"/>
          <w:szCs w:val="22"/>
          <w:highlight w:val="yellow"/>
        </w:rPr>
      </w:pPr>
      <w:r w:rsidRPr="007B02D7">
        <w:rPr>
          <w:sz w:val="22"/>
          <w:szCs w:val="22"/>
        </w:rPr>
        <w:t xml:space="preserve">Air Program Administrator, District Office:  </w:t>
      </w:r>
      <w:hyperlink r:id="rId16" w:history="1">
        <w:r w:rsidRPr="007B02D7">
          <w:rPr>
            <w:color w:val="0000FF"/>
            <w:sz w:val="22"/>
            <w:szCs w:val="22"/>
            <w:u w:val="single"/>
          </w:rPr>
          <w:t>SWD.air@dep.state.fl.us</w:t>
        </w:r>
      </w:hyperlink>
    </w:p>
    <w:p w:rsidR="00567A3C" w:rsidRPr="00C15AD5" w:rsidRDefault="00567A3C" w:rsidP="00567A3C">
      <w:pPr>
        <w:tabs>
          <w:tab w:val="left" w:pos="4338"/>
        </w:tabs>
        <w:suppressAutoHyphens/>
        <w:rPr>
          <w:sz w:val="22"/>
          <w:szCs w:val="22"/>
        </w:rPr>
      </w:pPr>
      <w:r w:rsidRPr="00C15AD5">
        <w:rPr>
          <w:sz w:val="22"/>
          <w:szCs w:val="22"/>
        </w:rPr>
        <w:t xml:space="preserve">DEP Siting Office:  </w:t>
      </w:r>
      <w:hyperlink r:id="rId17" w:history="1">
        <w:r w:rsidRPr="00C15AD5">
          <w:rPr>
            <w:rStyle w:val="Hyperlink"/>
            <w:sz w:val="22"/>
            <w:szCs w:val="22"/>
          </w:rPr>
          <w:t>SCO@dep.state.fl.us</w:t>
        </w:r>
      </w:hyperlink>
    </w:p>
    <w:p w:rsidR="00830907" w:rsidRPr="00830907" w:rsidRDefault="00204D14" w:rsidP="00830907">
      <w:pPr>
        <w:widowControl w:val="0"/>
        <w:tabs>
          <w:tab w:val="left" w:pos="-720"/>
          <w:tab w:val="left" w:pos="4320"/>
        </w:tabs>
        <w:outlineLvl w:val="0"/>
        <w:rPr>
          <w:sz w:val="22"/>
          <w:szCs w:val="22"/>
        </w:rPr>
      </w:pPr>
      <w:r w:rsidRPr="00005AE8">
        <w:rPr>
          <w:sz w:val="22"/>
          <w:szCs w:val="22"/>
        </w:rPr>
        <w:t xml:space="preserve">EPA Region 4 NSR/PSD:  </w:t>
      </w:r>
      <w:hyperlink r:id="rId18" w:history="1">
        <w:r w:rsidRPr="00005AE8">
          <w:rPr>
            <w:rStyle w:val="Hyperlink"/>
            <w:sz w:val="22"/>
            <w:szCs w:val="22"/>
          </w:rPr>
          <w:t>NSRsubmittals@epa.gov</w:t>
        </w:r>
      </w:hyperlink>
      <w:r>
        <w:rPr>
          <w:sz w:val="22"/>
          <w:szCs w:val="22"/>
        </w:rPr>
        <w:t xml:space="preserve"> </w:t>
      </w:r>
    </w:p>
    <w:p w:rsidR="00E66CA0" w:rsidRDefault="00E66CA0" w:rsidP="00E66CA0">
      <w:pPr>
        <w:widowControl w:val="0"/>
        <w:tabs>
          <w:tab w:val="left" w:pos="-720"/>
          <w:tab w:val="left" w:pos="4320"/>
        </w:tabs>
        <w:outlineLvl w:val="0"/>
        <w:rPr>
          <w:sz w:val="22"/>
          <w:szCs w:val="22"/>
        </w:rPr>
      </w:pPr>
      <w:r>
        <w:rPr>
          <w:sz w:val="22"/>
          <w:szCs w:val="22"/>
        </w:rPr>
        <w:t xml:space="preserve">Ms. </w:t>
      </w:r>
      <w:r w:rsidRPr="00E66CA0">
        <w:rPr>
          <w:sz w:val="22"/>
          <w:szCs w:val="22"/>
        </w:rPr>
        <w:t xml:space="preserve">Alisa Coe, Earth Justice:  </w:t>
      </w:r>
      <w:hyperlink r:id="rId19" w:history="1">
        <w:r w:rsidR="009D73D8" w:rsidRPr="006C07AB">
          <w:rPr>
            <w:rStyle w:val="Hyperlink"/>
            <w:sz w:val="22"/>
            <w:szCs w:val="22"/>
          </w:rPr>
          <w:t>acoe@earthjustice.org</w:t>
        </w:r>
      </w:hyperlink>
    </w:p>
    <w:p w:rsidR="00E66CA0" w:rsidRDefault="00E66CA0" w:rsidP="00E66CA0">
      <w:pPr>
        <w:widowControl w:val="0"/>
        <w:tabs>
          <w:tab w:val="left" w:pos="-720"/>
          <w:tab w:val="left" w:pos="4320"/>
        </w:tabs>
        <w:outlineLvl w:val="0"/>
        <w:rPr>
          <w:sz w:val="22"/>
          <w:szCs w:val="22"/>
        </w:rPr>
      </w:pPr>
      <w:r>
        <w:rPr>
          <w:sz w:val="22"/>
          <w:szCs w:val="22"/>
        </w:rPr>
        <w:t xml:space="preserve">Ms. </w:t>
      </w:r>
      <w:r w:rsidRPr="00E66CA0">
        <w:rPr>
          <w:sz w:val="22"/>
          <w:szCs w:val="22"/>
        </w:rPr>
        <w:t>Tess Fields, Sierra Cl</w:t>
      </w:r>
      <w:r w:rsidR="009D73D8">
        <w:rPr>
          <w:sz w:val="22"/>
          <w:szCs w:val="22"/>
        </w:rPr>
        <w:t xml:space="preserve">ub:  </w:t>
      </w:r>
      <w:hyperlink r:id="rId20" w:history="1">
        <w:r w:rsidR="009D73D8" w:rsidRPr="006C07AB">
          <w:rPr>
            <w:rStyle w:val="Hyperlink"/>
            <w:sz w:val="22"/>
            <w:szCs w:val="22"/>
          </w:rPr>
          <w:t>tess.fields@sierraclub.org</w:t>
        </w:r>
      </w:hyperlink>
    </w:p>
    <w:p w:rsidR="00E66CA0" w:rsidRDefault="00E66CA0" w:rsidP="00E66CA0">
      <w:pPr>
        <w:widowControl w:val="0"/>
        <w:tabs>
          <w:tab w:val="left" w:pos="-720"/>
          <w:tab w:val="left" w:pos="4320"/>
        </w:tabs>
        <w:outlineLvl w:val="0"/>
        <w:rPr>
          <w:sz w:val="22"/>
          <w:szCs w:val="22"/>
        </w:rPr>
      </w:pPr>
      <w:r>
        <w:rPr>
          <w:sz w:val="22"/>
          <w:szCs w:val="22"/>
        </w:rPr>
        <w:t xml:space="preserve">Ms. </w:t>
      </w:r>
      <w:r w:rsidRPr="00E66CA0">
        <w:rPr>
          <w:sz w:val="22"/>
          <w:szCs w:val="22"/>
        </w:rPr>
        <w:t xml:space="preserve">Diana </w:t>
      </w:r>
      <w:proofErr w:type="spellStart"/>
      <w:r w:rsidRPr="00E66CA0">
        <w:rPr>
          <w:sz w:val="22"/>
          <w:szCs w:val="22"/>
        </w:rPr>
        <w:t>Csank</w:t>
      </w:r>
      <w:proofErr w:type="spellEnd"/>
      <w:r w:rsidRPr="00E66CA0">
        <w:rPr>
          <w:sz w:val="22"/>
          <w:szCs w:val="22"/>
        </w:rPr>
        <w:t xml:space="preserve">, Sierra Club:  </w:t>
      </w:r>
      <w:hyperlink r:id="rId21" w:history="1">
        <w:r w:rsidR="009D73D8" w:rsidRPr="006C07AB">
          <w:rPr>
            <w:rStyle w:val="Hyperlink"/>
            <w:sz w:val="22"/>
            <w:szCs w:val="22"/>
          </w:rPr>
          <w:t>Diana.Csank@sierraclub.org</w:t>
        </w:r>
      </w:hyperlink>
    </w:p>
    <w:p w:rsidR="006A330C" w:rsidRDefault="006A330C" w:rsidP="006A330C">
      <w:pPr>
        <w:widowControl w:val="0"/>
        <w:tabs>
          <w:tab w:val="left" w:pos="-720"/>
          <w:tab w:val="left" w:pos="4320"/>
        </w:tabs>
        <w:outlineLvl w:val="0"/>
        <w:rPr>
          <w:sz w:val="22"/>
          <w:szCs w:val="22"/>
        </w:rPr>
      </w:pPr>
      <w:r>
        <w:rPr>
          <w:sz w:val="22"/>
          <w:szCs w:val="22"/>
        </w:rPr>
        <w:t xml:space="preserve">Ms. Lynn </w:t>
      </w:r>
      <w:proofErr w:type="spellStart"/>
      <w:r>
        <w:rPr>
          <w:sz w:val="22"/>
          <w:szCs w:val="22"/>
        </w:rPr>
        <w:t>Scearce</w:t>
      </w:r>
      <w:proofErr w:type="spellEnd"/>
      <w:r>
        <w:rPr>
          <w:sz w:val="22"/>
          <w:szCs w:val="22"/>
        </w:rPr>
        <w:t xml:space="preserve">, DEP OPC:  </w:t>
      </w:r>
      <w:r w:rsidRPr="005C0004">
        <w:rPr>
          <w:rStyle w:val="Hyperlink"/>
          <w:sz w:val="22"/>
          <w:szCs w:val="22"/>
        </w:rPr>
        <w:t>lynn.scearce@dep.state.fl.us</w:t>
      </w:r>
    </w:p>
    <w:p w:rsidR="00E461C7" w:rsidRPr="00F30A51" w:rsidRDefault="00E461C7" w:rsidP="0041518A">
      <w:pPr>
        <w:tabs>
          <w:tab w:val="left" w:pos="-720"/>
        </w:tabs>
        <w:spacing w:before="240" w:after="120"/>
        <w:outlineLvl w:val="0"/>
        <w:rPr>
          <w:sz w:val="22"/>
          <w:szCs w:val="22"/>
        </w:rPr>
      </w:pPr>
      <w:r w:rsidRPr="00F30A51">
        <w:rPr>
          <w:sz w:val="22"/>
          <w:szCs w:val="22"/>
        </w:rPr>
        <w:t>Clerk Stamp</w:t>
      </w:r>
    </w:p>
    <w:p w:rsidR="00E461C7" w:rsidRPr="00431B1F" w:rsidRDefault="00E461C7" w:rsidP="0041518A">
      <w:pPr>
        <w:ind w:right="504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790EC6" w:rsidRPr="0041518A" w:rsidRDefault="00790EC6" w:rsidP="0041518A">
      <w:pPr>
        <w:rPr>
          <w:sz w:val="22"/>
          <w:szCs w:val="22"/>
        </w:rPr>
      </w:pPr>
    </w:p>
    <w:p w:rsidR="00E461C7" w:rsidRPr="00FA6F8A" w:rsidRDefault="00E461C7" w:rsidP="0041518A">
      <w:pPr>
        <w:rPr>
          <w:b/>
          <w:sz w:val="22"/>
          <w:szCs w:val="22"/>
        </w:rPr>
      </w:pPr>
      <w:r w:rsidRPr="00FA6F8A">
        <w:rPr>
          <w:b/>
          <w:sz w:val="22"/>
          <w:szCs w:val="22"/>
          <w:highlight w:val="yellow"/>
        </w:rPr>
        <w:t>(DRAFT)</w:t>
      </w:r>
    </w:p>
    <w:p w:rsidR="00E461C7" w:rsidRPr="00431B1F" w:rsidRDefault="00E461C7" w:rsidP="0041518A">
      <w:pPr>
        <w:tabs>
          <w:tab w:val="left" w:pos="-720"/>
          <w:tab w:val="left" w:pos="4320"/>
        </w:tabs>
        <w:ind w:left="4320"/>
        <w:rPr>
          <w:sz w:val="22"/>
          <w:szCs w:val="22"/>
        </w:rPr>
      </w:pPr>
    </w:p>
    <w:p w:rsidR="00E461C7" w:rsidRDefault="00E461C7" w:rsidP="0041518A">
      <w:pPr>
        <w:tabs>
          <w:tab w:val="left" w:pos="4320"/>
        </w:tabs>
        <w:spacing w:after="120"/>
        <w:rPr>
          <w:caps/>
          <w:sz w:val="22"/>
          <w:szCs w:val="22"/>
        </w:rPr>
      </w:pPr>
    </w:p>
    <w:p w:rsidR="00252A3C" w:rsidRPr="001023C1" w:rsidRDefault="00252A3C" w:rsidP="00E461C7">
      <w:pPr>
        <w:spacing w:after="120"/>
        <w:rPr>
          <w:caps/>
          <w:sz w:val="22"/>
          <w:szCs w:val="22"/>
        </w:rPr>
      </w:pPr>
    </w:p>
    <w:p w:rsidR="00E461C7" w:rsidRDefault="00E461C7" w:rsidP="00B23E2C">
      <w:pPr>
        <w:spacing w:after="120"/>
        <w:rPr>
          <w:b/>
          <w:caps/>
          <w:sz w:val="22"/>
          <w:szCs w:val="22"/>
        </w:rPr>
        <w:sectPr w:rsidR="00E461C7" w:rsidSect="003D6065">
          <w:headerReference w:type="even" r:id="rId22"/>
          <w:headerReference w:type="default" r:id="rId23"/>
          <w:footerReference w:type="default" r:id="rId24"/>
          <w:headerReference w:type="first" r:id="rId25"/>
          <w:pgSz w:w="12240" w:h="15840" w:code="1"/>
          <w:pgMar w:top="720" w:right="1080" w:bottom="720" w:left="1080" w:header="720" w:footer="720" w:gutter="0"/>
          <w:paperSrc w:first="15" w:other="15"/>
          <w:cols w:space="720"/>
        </w:sectPr>
      </w:pPr>
    </w:p>
    <w:p w:rsidR="003D6065" w:rsidRPr="00877418" w:rsidRDefault="004A752B" w:rsidP="003D6065">
      <w:pPr>
        <w:spacing w:after="120"/>
        <w:rPr>
          <w:caps/>
          <w:sz w:val="22"/>
          <w:szCs w:val="22"/>
          <w:u w:val="single"/>
        </w:rPr>
      </w:pPr>
      <w:r>
        <w:rPr>
          <w:b/>
          <w:caps/>
          <w:sz w:val="22"/>
          <w:szCs w:val="22"/>
        </w:rPr>
        <w:lastRenderedPageBreak/>
        <w:t xml:space="preserve">SHGS </w:t>
      </w:r>
      <w:r w:rsidR="003D6065" w:rsidRPr="00877418">
        <w:rPr>
          <w:b/>
          <w:caps/>
          <w:sz w:val="22"/>
          <w:szCs w:val="22"/>
        </w:rPr>
        <w:t>Facility Description</w:t>
      </w:r>
    </w:p>
    <w:p w:rsidR="00DD6DD0" w:rsidRDefault="00DD6DD0" w:rsidP="00DD6DD0">
      <w:pPr>
        <w:spacing w:after="120"/>
        <w:rPr>
          <w:sz w:val="22"/>
          <w:szCs w:val="22"/>
        </w:rPr>
      </w:pPr>
      <w:bookmarkStart w:id="0" w:name="_Hlk490059434"/>
      <w:r>
        <w:rPr>
          <w:sz w:val="22"/>
          <w:szCs w:val="22"/>
        </w:rPr>
        <w:t xml:space="preserve">The </w:t>
      </w:r>
      <w:r w:rsidR="00DF2065">
        <w:rPr>
          <w:sz w:val="22"/>
          <w:szCs w:val="22"/>
        </w:rPr>
        <w:t>SHGS</w:t>
      </w:r>
      <w:r>
        <w:rPr>
          <w:sz w:val="22"/>
          <w:szCs w:val="22"/>
        </w:rPr>
        <w:t xml:space="preserve"> is an</w:t>
      </w:r>
      <w:r w:rsidR="00120D2A">
        <w:rPr>
          <w:sz w:val="22"/>
          <w:szCs w:val="22"/>
        </w:rPr>
        <w:t xml:space="preserve"> existing</w:t>
      </w:r>
      <w:r>
        <w:rPr>
          <w:sz w:val="22"/>
          <w:szCs w:val="22"/>
        </w:rPr>
        <w:t xml:space="preserve"> </w:t>
      </w:r>
      <w:bookmarkStart w:id="1" w:name="_Hlk490467406"/>
      <w:r>
        <w:rPr>
          <w:sz w:val="22"/>
          <w:szCs w:val="22"/>
        </w:rPr>
        <w:t>electric generating power plant</w:t>
      </w:r>
      <w:r w:rsidR="00DB32E6">
        <w:rPr>
          <w:sz w:val="22"/>
          <w:szCs w:val="22"/>
        </w:rPr>
        <w:t xml:space="preserve"> </w:t>
      </w:r>
      <w:r w:rsidR="00DB32E6" w:rsidRPr="00DB32E6">
        <w:rPr>
          <w:sz w:val="22"/>
          <w:szCs w:val="22"/>
        </w:rPr>
        <w:t>owned and operated by Shady Hills Power Company, L.L.C</w:t>
      </w:r>
      <w:r w:rsidR="00DB32E6">
        <w:rPr>
          <w:sz w:val="22"/>
          <w:szCs w:val="22"/>
        </w:rPr>
        <w:t>., which</w:t>
      </w:r>
      <w:r>
        <w:rPr>
          <w:sz w:val="22"/>
          <w:szCs w:val="22"/>
        </w:rPr>
        <w:t xml:space="preserve"> </w:t>
      </w:r>
      <w:bookmarkEnd w:id="1"/>
      <w:r>
        <w:rPr>
          <w:sz w:val="22"/>
          <w:szCs w:val="22"/>
        </w:rPr>
        <w:t>consist</w:t>
      </w:r>
      <w:r w:rsidR="00DB32E6">
        <w:rPr>
          <w:sz w:val="22"/>
          <w:szCs w:val="22"/>
        </w:rPr>
        <w:t>s</w:t>
      </w:r>
      <w:r>
        <w:rPr>
          <w:sz w:val="22"/>
          <w:szCs w:val="22"/>
        </w:rPr>
        <w:t xml:space="preserve"> of three primary electrical generating units.  Units 1 through 3 (EU 001 – EU 003) consist of three nominal 170 MW General Electric (GE) Frame 7FA combustion turbine-electrical generators (Model PG 7241FA).  The simple cycle combustion turbines (SCCT) operate in simple-cycle peaking and intermittent-duty modes and are authorized to fire natural gas and distillate oil.  To reduce emissions of nitrogen oxides (NO</w:t>
      </w:r>
      <w:r>
        <w:rPr>
          <w:sz w:val="22"/>
          <w:szCs w:val="22"/>
          <w:vertAlign w:val="subscript"/>
        </w:rPr>
        <w:t>X</w:t>
      </w:r>
      <w:r>
        <w:rPr>
          <w:sz w:val="22"/>
          <w:szCs w:val="22"/>
        </w:rPr>
        <w:t>), each SCCT is equipped with dry low-NO</w:t>
      </w:r>
      <w:r>
        <w:rPr>
          <w:sz w:val="22"/>
          <w:szCs w:val="22"/>
          <w:vertAlign w:val="subscript"/>
        </w:rPr>
        <w:t>X</w:t>
      </w:r>
      <w:r>
        <w:rPr>
          <w:sz w:val="22"/>
          <w:szCs w:val="22"/>
        </w:rPr>
        <w:t xml:space="preserve"> (DLN) combustors when firing natural gas and a water injection system when firing oil.  Compliance with the NO</w:t>
      </w:r>
      <w:r>
        <w:rPr>
          <w:sz w:val="22"/>
          <w:szCs w:val="22"/>
          <w:vertAlign w:val="subscript"/>
        </w:rPr>
        <w:t>X</w:t>
      </w:r>
      <w:r>
        <w:rPr>
          <w:sz w:val="22"/>
          <w:szCs w:val="22"/>
        </w:rPr>
        <w:t xml:space="preserve"> emission standard is demonstrated with a continuous emissions monitoring system (CEMS).  </w:t>
      </w:r>
    </w:p>
    <w:p w:rsidR="00DD6DD0" w:rsidRDefault="00120D2A" w:rsidP="00DD6DD0">
      <w:pPr>
        <w:pStyle w:val="BodyText3"/>
        <w:numPr>
          <w:ilvl w:val="12"/>
          <w:numId w:val="0"/>
        </w:numPr>
        <w:jc w:val="left"/>
        <w:rPr>
          <w:szCs w:val="22"/>
        </w:rPr>
      </w:pPr>
      <w:r>
        <w:rPr>
          <w:szCs w:val="22"/>
        </w:rPr>
        <w:t>SHGS</w:t>
      </w:r>
      <w:r w:rsidR="00DD6DD0">
        <w:rPr>
          <w:szCs w:val="22"/>
        </w:rPr>
        <w:t xml:space="preserve"> also includes a 10 million British thermal unit per hour (MMBtu/hour) natural gas fired process heater, and two compression ignition (CI) internal combustion engines (ICE).  The CI ICE consist of a diesel fired emergency generator (1,341 horse power (HP)) and an emergency fire pump engine (222 HP).</w:t>
      </w:r>
      <w:bookmarkEnd w:id="0"/>
    </w:p>
    <w:p w:rsidR="00DD6DD0" w:rsidRDefault="00120D2A" w:rsidP="00DD6DD0">
      <w:pPr>
        <w:pStyle w:val="BodyText3"/>
        <w:numPr>
          <w:ilvl w:val="12"/>
          <w:numId w:val="0"/>
        </w:numPr>
        <w:jc w:val="left"/>
        <w:rPr>
          <w:szCs w:val="22"/>
        </w:rPr>
      </w:pPr>
      <w:r>
        <w:rPr>
          <w:szCs w:val="22"/>
        </w:rPr>
        <w:t>SHGS</w:t>
      </w:r>
      <w:r w:rsidR="00DD6DD0">
        <w:rPr>
          <w:szCs w:val="22"/>
        </w:rPr>
        <w:t xml:space="preserve"> consists of the following emission</w:t>
      </w:r>
      <w:r w:rsidR="00E450AE">
        <w:rPr>
          <w:szCs w:val="22"/>
        </w:rPr>
        <w:t>s</w:t>
      </w:r>
      <w:r w:rsidR="00DD6DD0">
        <w:rPr>
          <w:szCs w:val="22"/>
        </w:rPr>
        <w:t xml:space="preserve"> units (EU).</w:t>
      </w:r>
    </w:p>
    <w:tbl>
      <w:tblPr>
        <w:tblW w:w="996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4A0" w:firstRow="1" w:lastRow="0" w:firstColumn="1" w:lastColumn="0" w:noHBand="0" w:noVBand="1"/>
      </w:tblPr>
      <w:tblGrid>
        <w:gridCol w:w="1017"/>
        <w:gridCol w:w="8943"/>
      </w:tblGrid>
      <w:tr w:rsidR="00DD6DD0" w:rsidTr="007170A8">
        <w:tc>
          <w:tcPr>
            <w:tcW w:w="1016" w:type="dxa"/>
            <w:tcBorders>
              <w:top w:val="single" w:sz="12" w:space="0" w:color="auto"/>
              <w:left w:val="single" w:sz="12" w:space="0" w:color="auto"/>
              <w:bottom w:val="single" w:sz="12" w:space="0" w:color="auto"/>
              <w:right w:val="single" w:sz="12" w:space="0" w:color="auto"/>
            </w:tcBorders>
            <w:shd w:val="clear" w:color="auto" w:fill="B8CCE4"/>
            <w:hideMark/>
          </w:tcPr>
          <w:p w:rsidR="00DD6DD0" w:rsidRDefault="00DD6DD0">
            <w:pPr>
              <w:jc w:val="center"/>
              <w:rPr>
                <w:b/>
              </w:rPr>
            </w:pPr>
            <w:bookmarkStart w:id="2" w:name="_Hlk490059403"/>
            <w:r>
              <w:rPr>
                <w:b/>
              </w:rPr>
              <w:t>EU No.</w:t>
            </w:r>
          </w:p>
        </w:tc>
        <w:tc>
          <w:tcPr>
            <w:tcW w:w="8938" w:type="dxa"/>
            <w:tcBorders>
              <w:top w:val="single" w:sz="12" w:space="0" w:color="auto"/>
              <w:left w:val="single" w:sz="12" w:space="0" w:color="auto"/>
              <w:bottom w:val="single" w:sz="12" w:space="0" w:color="auto"/>
              <w:right w:val="single" w:sz="12" w:space="0" w:color="auto"/>
            </w:tcBorders>
            <w:shd w:val="clear" w:color="auto" w:fill="B8CCE4"/>
            <w:hideMark/>
          </w:tcPr>
          <w:p w:rsidR="00DD6DD0" w:rsidRDefault="00120D2A" w:rsidP="00902C16">
            <w:pPr>
              <w:keepNext/>
              <w:tabs>
                <w:tab w:val="left" w:pos="5790"/>
              </w:tabs>
              <w:outlineLvl w:val="1"/>
              <w:rPr>
                <w:b/>
              </w:rPr>
            </w:pPr>
            <w:r>
              <w:rPr>
                <w:b/>
              </w:rPr>
              <w:t xml:space="preserve">SHGS </w:t>
            </w:r>
            <w:r w:rsidR="00C1612A">
              <w:rPr>
                <w:b/>
              </w:rPr>
              <w:t xml:space="preserve">(Facility ID No. 1010373) </w:t>
            </w:r>
            <w:r w:rsidR="00E450AE" w:rsidRPr="00E450AE">
              <w:rPr>
                <w:b/>
              </w:rPr>
              <w:t>Emission Unit Description</w:t>
            </w:r>
          </w:p>
        </w:tc>
      </w:tr>
      <w:tr w:rsidR="00DD6DD0" w:rsidTr="00DD6DD0">
        <w:tc>
          <w:tcPr>
            <w:tcW w:w="1016" w:type="dxa"/>
            <w:tcBorders>
              <w:top w:val="single" w:sz="8" w:space="0" w:color="auto"/>
              <w:left w:val="single" w:sz="12" w:space="0" w:color="auto"/>
              <w:bottom w:val="single" w:sz="8" w:space="0" w:color="auto"/>
              <w:right w:val="single" w:sz="12" w:space="0" w:color="auto"/>
            </w:tcBorders>
            <w:hideMark/>
          </w:tcPr>
          <w:p w:rsidR="00DD6DD0" w:rsidRDefault="00DD6DD0">
            <w:pPr>
              <w:jc w:val="center"/>
            </w:pPr>
            <w:r>
              <w:t>001</w:t>
            </w:r>
          </w:p>
        </w:tc>
        <w:tc>
          <w:tcPr>
            <w:tcW w:w="8938" w:type="dxa"/>
            <w:tcBorders>
              <w:top w:val="single" w:sz="8" w:space="0" w:color="auto"/>
              <w:left w:val="single" w:sz="12" w:space="0" w:color="auto"/>
              <w:bottom w:val="single" w:sz="8" w:space="0" w:color="auto"/>
              <w:right w:val="single" w:sz="12" w:space="0" w:color="auto"/>
            </w:tcBorders>
            <w:hideMark/>
          </w:tcPr>
          <w:p w:rsidR="00DD6DD0" w:rsidRDefault="00DD6DD0">
            <w:r>
              <w:t>SCCT Unit 1</w:t>
            </w:r>
          </w:p>
        </w:tc>
      </w:tr>
      <w:tr w:rsidR="00DD6DD0" w:rsidTr="00DD6DD0">
        <w:tc>
          <w:tcPr>
            <w:tcW w:w="1016" w:type="dxa"/>
            <w:tcBorders>
              <w:top w:val="single" w:sz="8" w:space="0" w:color="auto"/>
              <w:left w:val="single" w:sz="12" w:space="0" w:color="auto"/>
              <w:bottom w:val="single" w:sz="8" w:space="0" w:color="auto"/>
              <w:right w:val="single" w:sz="12" w:space="0" w:color="auto"/>
            </w:tcBorders>
            <w:hideMark/>
          </w:tcPr>
          <w:p w:rsidR="00DD6DD0" w:rsidRDefault="00DD6DD0">
            <w:pPr>
              <w:jc w:val="center"/>
            </w:pPr>
            <w:r>
              <w:t>002</w:t>
            </w:r>
          </w:p>
        </w:tc>
        <w:tc>
          <w:tcPr>
            <w:tcW w:w="8938" w:type="dxa"/>
            <w:tcBorders>
              <w:top w:val="single" w:sz="8" w:space="0" w:color="auto"/>
              <w:left w:val="single" w:sz="12" w:space="0" w:color="auto"/>
              <w:bottom w:val="single" w:sz="8" w:space="0" w:color="auto"/>
              <w:right w:val="single" w:sz="12" w:space="0" w:color="auto"/>
            </w:tcBorders>
            <w:hideMark/>
          </w:tcPr>
          <w:p w:rsidR="00DD6DD0" w:rsidRDefault="00DD6DD0">
            <w:r>
              <w:t>SCCT Unit 2</w:t>
            </w:r>
          </w:p>
        </w:tc>
      </w:tr>
      <w:tr w:rsidR="00DD6DD0" w:rsidTr="00DD6DD0">
        <w:tc>
          <w:tcPr>
            <w:tcW w:w="1016" w:type="dxa"/>
            <w:tcBorders>
              <w:top w:val="single" w:sz="8" w:space="0" w:color="auto"/>
              <w:left w:val="single" w:sz="12" w:space="0" w:color="auto"/>
              <w:bottom w:val="single" w:sz="8" w:space="0" w:color="auto"/>
              <w:right w:val="single" w:sz="12" w:space="0" w:color="auto"/>
            </w:tcBorders>
            <w:hideMark/>
          </w:tcPr>
          <w:p w:rsidR="00DD6DD0" w:rsidRDefault="00DD6DD0">
            <w:pPr>
              <w:jc w:val="center"/>
            </w:pPr>
            <w:r>
              <w:t>003</w:t>
            </w:r>
          </w:p>
        </w:tc>
        <w:tc>
          <w:tcPr>
            <w:tcW w:w="8938" w:type="dxa"/>
            <w:tcBorders>
              <w:top w:val="single" w:sz="8" w:space="0" w:color="auto"/>
              <w:left w:val="single" w:sz="12" w:space="0" w:color="auto"/>
              <w:bottom w:val="single" w:sz="8" w:space="0" w:color="auto"/>
              <w:right w:val="single" w:sz="12" w:space="0" w:color="auto"/>
            </w:tcBorders>
            <w:hideMark/>
          </w:tcPr>
          <w:p w:rsidR="00DD6DD0" w:rsidRDefault="00DD6DD0">
            <w:r>
              <w:t>SCCT Unit 3</w:t>
            </w:r>
          </w:p>
        </w:tc>
      </w:tr>
      <w:tr w:rsidR="00DD6DD0" w:rsidTr="00DD6DD0">
        <w:tc>
          <w:tcPr>
            <w:tcW w:w="1016" w:type="dxa"/>
            <w:tcBorders>
              <w:top w:val="single" w:sz="8" w:space="0" w:color="auto"/>
              <w:left w:val="single" w:sz="12" w:space="0" w:color="auto"/>
              <w:bottom w:val="single" w:sz="8" w:space="0" w:color="auto"/>
              <w:right w:val="single" w:sz="12" w:space="0" w:color="auto"/>
            </w:tcBorders>
            <w:hideMark/>
          </w:tcPr>
          <w:p w:rsidR="00DD6DD0" w:rsidRDefault="00DD6DD0">
            <w:pPr>
              <w:jc w:val="center"/>
            </w:pPr>
            <w:r>
              <w:t>010</w:t>
            </w:r>
          </w:p>
        </w:tc>
        <w:tc>
          <w:tcPr>
            <w:tcW w:w="8938" w:type="dxa"/>
            <w:tcBorders>
              <w:top w:val="single" w:sz="8" w:space="0" w:color="auto"/>
              <w:left w:val="single" w:sz="12" w:space="0" w:color="auto"/>
              <w:bottom w:val="single" w:sz="8" w:space="0" w:color="auto"/>
              <w:right w:val="single" w:sz="12" w:space="0" w:color="auto"/>
            </w:tcBorders>
            <w:hideMark/>
          </w:tcPr>
          <w:p w:rsidR="00DD6DD0" w:rsidRDefault="00DD6DD0">
            <w:r>
              <w:t>Natural Gas Fuel Heater (10 MMBtu/hour)</w:t>
            </w:r>
          </w:p>
        </w:tc>
      </w:tr>
      <w:tr w:rsidR="00DD6DD0" w:rsidTr="00DD6DD0">
        <w:tc>
          <w:tcPr>
            <w:tcW w:w="1016" w:type="dxa"/>
            <w:tcBorders>
              <w:top w:val="single" w:sz="8" w:space="0" w:color="auto"/>
              <w:left w:val="single" w:sz="12" w:space="0" w:color="auto"/>
              <w:bottom w:val="single" w:sz="8" w:space="0" w:color="auto"/>
              <w:right w:val="single" w:sz="12" w:space="0" w:color="auto"/>
            </w:tcBorders>
            <w:hideMark/>
          </w:tcPr>
          <w:p w:rsidR="00DD6DD0" w:rsidRDefault="00DD6DD0">
            <w:pPr>
              <w:jc w:val="center"/>
            </w:pPr>
            <w:r>
              <w:t>011</w:t>
            </w:r>
          </w:p>
        </w:tc>
        <w:tc>
          <w:tcPr>
            <w:tcW w:w="8938" w:type="dxa"/>
            <w:tcBorders>
              <w:top w:val="single" w:sz="8" w:space="0" w:color="auto"/>
              <w:left w:val="single" w:sz="12" w:space="0" w:color="auto"/>
              <w:bottom w:val="single" w:sz="8" w:space="0" w:color="auto"/>
              <w:right w:val="single" w:sz="12" w:space="0" w:color="auto"/>
            </w:tcBorders>
            <w:hideMark/>
          </w:tcPr>
          <w:p w:rsidR="00DD6DD0" w:rsidRDefault="00DD6DD0">
            <w:r>
              <w:t>Emergency Diesel Generator (1,341 HP)</w:t>
            </w:r>
          </w:p>
        </w:tc>
      </w:tr>
      <w:tr w:rsidR="00DD6DD0" w:rsidTr="00DD6DD0">
        <w:tc>
          <w:tcPr>
            <w:tcW w:w="1016" w:type="dxa"/>
            <w:tcBorders>
              <w:top w:val="single" w:sz="8" w:space="0" w:color="auto"/>
              <w:left w:val="single" w:sz="12" w:space="0" w:color="auto"/>
              <w:bottom w:val="single" w:sz="12" w:space="0" w:color="auto"/>
              <w:right w:val="single" w:sz="12" w:space="0" w:color="auto"/>
            </w:tcBorders>
            <w:hideMark/>
          </w:tcPr>
          <w:p w:rsidR="00DD6DD0" w:rsidRDefault="00DD6DD0">
            <w:pPr>
              <w:jc w:val="center"/>
            </w:pPr>
            <w:r>
              <w:t>012</w:t>
            </w:r>
          </w:p>
        </w:tc>
        <w:tc>
          <w:tcPr>
            <w:tcW w:w="8938" w:type="dxa"/>
            <w:tcBorders>
              <w:top w:val="single" w:sz="8" w:space="0" w:color="auto"/>
              <w:left w:val="single" w:sz="12" w:space="0" w:color="auto"/>
              <w:bottom w:val="single" w:sz="12" w:space="0" w:color="auto"/>
              <w:right w:val="single" w:sz="12" w:space="0" w:color="auto"/>
            </w:tcBorders>
            <w:hideMark/>
          </w:tcPr>
          <w:p w:rsidR="00DD6DD0" w:rsidRDefault="00DD6DD0">
            <w:r>
              <w:t>Emergency Diesel Fire Pump (222 HP)</w:t>
            </w:r>
          </w:p>
        </w:tc>
        <w:bookmarkEnd w:id="2"/>
      </w:tr>
    </w:tbl>
    <w:p w:rsidR="003D6065" w:rsidRPr="00E83FBF" w:rsidRDefault="003D6065" w:rsidP="003D6065">
      <w:pPr>
        <w:pStyle w:val="BodyText3"/>
        <w:numPr>
          <w:ilvl w:val="12"/>
          <w:numId w:val="0"/>
        </w:numPr>
        <w:spacing w:before="120"/>
        <w:jc w:val="left"/>
        <w:rPr>
          <w:b/>
          <w:szCs w:val="22"/>
        </w:rPr>
      </w:pPr>
      <w:r w:rsidRPr="00196A65">
        <w:rPr>
          <w:b/>
          <w:szCs w:val="22"/>
        </w:rPr>
        <w:t xml:space="preserve">PROPOSED </w:t>
      </w:r>
      <w:r w:rsidR="005702CB">
        <w:rPr>
          <w:b/>
          <w:szCs w:val="22"/>
        </w:rPr>
        <w:t xml:space="preserve">SHCCF </w:t>
      </w:r>
      <w:r w:rsidRPr="00196A65">
        <w:rPr>
          <w:b/>
          <w:szCs w:val="22"/>
        </w:rPr>
        <w:t>PROJECT</w:t>
      </w:r>
    </w:p>
    <w:p w:rsidR="003D6065" w:rsidRPr="00B37EF7" w:rsidRDefault="00120D2A" w:rsidP="00120D2A">
      <w:pPr>
        <w:pStyle w:val="BodyText3"/>
        <w:numPr>
          <w:ilvl w:val="12"/>
          <w:numId w:val="0"/>
        </w:numPr>
        <w:jc w:val="left"/>
        <w:rPr>
          <w:szCs w:val="22"/>
        </w:rPr>
      </w:pPr>
      <w:r w:rsidRPr="00120D2A">
        <w:rPr>
          <w:szCs w:val="22"/>
        </w:rPr>
        <w:t>This permit authorizes the construction of new emissions units comprising the SHCCF to be constructed, owned,</w:t>
      </w:r>
      <w:r>
        <w:rPr>
          <w:szCs w:val="22"/>
        </w:rPr>
        <w:t xml:space="preserve"> </w:t>
      </w:r>
      <w:r w:rsidRPr="00120D2A">
        <w:rPr>
          <w:szCs w:val="22"/>
        </w:rPr>
        <w:t xml:space="preserve">and operated by Shady Hills Energy Center, LLC. </w:t>
      </w:r>
      <w:r w:rsidR="005702CB">
        <w:rPr>
          <w:szCs w:val="22"/>
        </w:rPr>
        <w:t xml:space="preserve"> </w:t>
      </w:r>
      <w:r w:rsidRPr="00120D2A">
        <w:rPr>
          <w:szCs w:val="22"/>
        </w:rPr>
        <w:t>This permit does not address and will not modify any of the</w:t>
      </w:r>
      <w:r>
        <w:rPr>
          <w:szCs w:val="22"/>
        </w:rPr>
        <w:t xml:space="preserve"> </w:t>
      </w:r>
      <w:r w:rsidRPr="00120D2A">
        <w:rPr>
          <w:szCs w:val="22"/>
        </w:rPr>
        <w:t>existing SHGS units owned and operated by Shady Hills Power Company, L.L.C.</w:t>
      </w:r>
      <w:r w:rsidR="00367C0E">
        <w:rPr>
          <w:szCs w:val="22"/>
        </w:rPr>
        <w:t xml:space="preserve">  The SHCCF will consist of </w:t>
      </w:r>
      <w:r w:rsidR="003D6065" w:rsidRPr="00DD6DD0">
        <w:rPr>
          <w:szCs w:val="22"/>
        </w:rPr>
        <w:t>the following</w:t>
      </w:r>
      <w:r w:rsidR="008253F6">
        <w:rPr>
          <w:szCs w:val="22"/>
        </w:rPr>
        <w:t>:</w:t>
      </w:r>
    </w:p>
    <w:tbl>
      <w:tblPr>
        <w:tblW w:w="0" w:type="auto"/>
        <w:tblInd w:w="1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43" w:type="dxa"/>
          <w:left w:w="72" w:type="dxa"/>
          <w:bottom w:w="43" w:type="dxa"/>
          <w:right w:w="72" w:type="dxa"/>
        </w:tblCellMar>
        <w:tblLook w:val="01E0" w:firstRow="1" w:lastRow="1" w:firstColumn="1" w:lastColumn="1" w:noHBand="0" w:noVBand="0"/>
      </w:tblPr>
      <w:tblGrid>
        <w:gridCol w:w="1035"/>
        <w:gridCol w:w="8900"/>
      </w:tblGrid>
      <w:tr w:rsidR="007170A8" w:rsidRPr="007170A8" w:rsidTr="00F1455E">
        <w:tc>
          <w:tcPr>
            <w:tcW w:w="1037" w:type="dxa"/>
            <w:tcBorders>
              <w:bottom w:val="single" w:sz="12" w:space="0" w:color="auto"/>
            </w:tcBorders>
            <w:shd w:val="clear" w:color="auto" w:fill="B8CCE4" w:themeFill="accent1" w:themeFillTint="66"/>
          </w:tcPr>
          <w:p w:rsidR="007170A8" w:rsidRPr="007170A8" w:rsidRDefault="007170A8" w:rsidP="007170A8">
            <w:pPr>
              <w:widowControl w:val="0"/>
              <w:jc w:val="center"/>
              <w:rPr>
                <w:b/>
              </w:rPr>
            </w:pPr>
            <w:r w:rsidRPr="007170A8">
              <w:rPr>
                <w:b/>
              </w:rPr>
              <w:t>EU No.</w:t>
            </w:r>
          </w:p>
        </w:tc>
        <w:tc>
          <w:tcPr>
            <w:tcW w:w="8928" w:type="dxa"/>
            <w:tcBorders>
              <w:bottom w:val="single" w:sz="12" w:space="0" w:color="auto"/>
            </w:tcBorders>
            <w:shd w:val="clear" w:color="auto" w:fill="B8CCE4" w:themeFill="accent1" w:themeFillTint="66"/>
          </w:tcPr>
          <w:p w:rsidR="007170A8" w:rsidRPr="007170A8" w:rsidRDefault="00120D2A" w:rsidP="007170A8">
            <w:pPr>
              <w:widowControl w:val="0"/>
              <w:rPr>
                <w:b/>
              </w:rPr>
            </w:pPr>
            <w:r>
              <w:rPr>
                <w:b/>
              </w:rPr>
              <w:t>SHCCF</w:t>
            </w:r>
            <w:r w:rsidR="00C1612A">
              <w:rPr>
                <w:b/>
              </w:rPr>
              <w:t xml:space="preserve"> </w:t>
            </w:r>
            <w:r w:rsidR="00C1612A" w:rsidRPr="00C1612A">
              <w:rPr>
                <w:b/>
              </w:rPr>
              <w:t xml:space="preserve">(Facility ID No. </w:t>
            </w:r>
            <w:bookmarkStart w:id="3" w:name="_GoBack"/>
            <w:bookmarkEnd w:id="3"/>
            <w:r w:rsidR="00B519E0" w:rsidRPr="00B519E0">
              <w:rPr>
                <w:b/>
              </w:rPr>
              <w:t>1010524</w:t>
            </w:r>
            <w:r w:rsidR="00C1612A" w:rsidRPr="00C1612A">
              <w:rPr>
                <w:b/>
              </w:rPr>
              <w:t xml:space="preserve">) </w:t>
            </w:r>
            <w:r w:rsidR="00E450AE" w:rsidRPr="00E450AE">
              <w:rPr>
                <w:b/>
              </w:rPr>
              <w:t>Emission Unit Description</w:t>
            </w:r>
          </w:p>
        </w:tc>
      </w:tr>
      <w:tr w:rsidR="007170A8" w:rsidRPr="007170A8" w:rsidTr="00F1455E">
        <w:trPr>
          <w:trHeight w:val="144"/>
        </w:trPr>
        <w:tc>
          <w:tcPr>
            <w:tcW w:w="1037" w:type="dxa"/>
            <w:tcBorders>
              <w:bottom w:val="single" w:sz="8" w:space="0" w:color="auto"/>
            </w:tcBorders>
          </w:tcPr>
          <w:p w:rsidR="007170A8" w:rsidRPr="00CC4DC5" w:rsidRDefault="00C1612A" w:rsidP="007170A8">
            <w:pPr>
              <w:widowControl w:val="0"/>
              <w:jc w:val="center"/>
            </w:pPr>
            <w:r>
              <w:t>001</w:t>
            </w:r>
          </w:p>
        </w:tc>
        <w:tc>
          <w:tcPr>
            <w:tcW w:w="8928" w:type="dxa"/>
            <w:tcBorders>
              <w:bottom w:val="single" w:sz="8" w:space="0" w:color="auto"/>
            </w:tcBorders>
          </w:tcPr>
          <w:p w:rsidR="007170A8" w:rsidRPr="00CC4DC5" w:rsidRDefault="00CE3AEF" w:rsidP="007170A8">
            <w:pPr>
              <w:widowControl w:val="0"/>
            </w:pPr>
            <w:r w:rsidRPr="00CC4DC5">
              <w:t>GE 7HA.02 Co</w:t>
            </w:r>
            <w:r w:rsidR="00267694">
              <w:t>mbustion Turbine and HRSG with D</w:t>
            </w:r>
            <w:r w:rsidRPr="00CC4DC5">
              <w:t xml:space="preserve">uct </w:t>
            </w:r>
            <w:r w:rsidR="00267694">
              <w:t>F</w:t>
            </w:r>
            <w:r w:rsidRPr="00CC4DC5">
              <w:t>iring</w:t>
            </w:r>
          </w:p>
        </w:tc>
      </w:tr>
      <w:tr w:rsidR="007170A8" w:rsidRPr="007170A8" w:rsidTr="00F1455E">
        <w:trPr>
          <w:trHeight w:val="144"/>
        </w:trPr>
        <w:tc>
          <w:tcPr>
            <w:tcW w:w="1037" w:type="dxa"/>
            <w:tcBorders>
              <w:top w:val="single" w:sz="8" w:space="0" w:color="auto"/>
              <w:bottom w:val="single" w:sz="8" w:space="0" w:color="auto"/>
            </w:tcBorders>
          </w:tcPr>
          <w:p w:rsidR="007170A8" w:rsidRPr="00CC4DC5" w:rsidRDefault="001D1F12" w:rsidP="007170A8">
            <w:pPr>
              <w:widowControl w:val="0"/>
              <w:jc w:val="center"/>
            </w:pPr>
            <w:r>
              <w:t>002</w:t>
            </w:r>
          </w:p>
        </w:tc>
        <w:tc>
          <w:tcPr>
            <w:tcW w:w="8928" w:type="dxa"/>
            <w:tcBorders>
              <w:top w:val="single" w:sz="8" w:space="0" w:color="auto"/>
              <w:bottom w:val="single" w:sz="8" w:space="0" w:color="auto"/>
            </w:tcBorders>
          </w:tcPr>
          <w:p w:rsidR="007170A8" w:rsidRPr="00CC4DC5" w:rsidRDefault="007170A8" w:rsidP="007170A8">
            <w:pPr>
              <w:widowControl w:val="0"/>
            </w:pPr>
            <w:r w:rsidRPr="00CC4DC5">
              <w:t xml:space="preserve">Auxiliary </w:t>
            </w:r>
            <w:r w:rsidR="000D4CC3" w:rsidRPr="00CC4DC5">
              <w:t>B</w:t>
            </w:r>
            <w:r w:rsidRPr="00CC4DC5">
              <w:t>oiler</w:t>
            </w:r>
          </w:p>
        </w:tc>
      </w:tr>
      <w:tr w:rsidR="007170A8" w:rsidRPr="007170A8" w:rsidTr="00F1455E">
        <w:trPr>
          <w:trHeight w:val="144"/>
        </w:trPr>
        <w:tc>
          <w:tcPr>
            <w:tcW w:w="1037" w:type="dxa"/>
            <w:tcBorders>
              <w:top w:val="single" w:sz="8" w:space="0" w:color="auto"/>
              <w:bottom w:val="single" w:sz="8" w:space="0" w:color="auto"/>
            </w:tcBorders>
          </w:tcPr>
          <w:p w:rsidR="007170A8" w:rsidRPr="00CC4DC5" w:rsidRDefault="001D1F12" w:rsidP="007170A8">
            <w:pPr>
              <w:widowControl w:val="0"/>
              <w:jc w:val="center"/>
            </w:pPr>
            <w:r>
              <w:t>003</w:t>
            </w:r>
          </w:p>
        </w:tc>
        <w:tc>
          <w:tcPr>
            <w:tcW w:w="8928" w:type="dxa"/>
            <w:tcBorders>
              <w:top w:val="single" w:sz="8" w:space="0" w:color="auto"/>
              <w:bottom w:val="single" w:sz="8" w:space="0" w:color="auto"/>
            </w:tcBorders>
          </w:tcPr>
          <w:p w:rsidR="007170A8" w:rsidRPr="00CC4DC5" w:rsidRDefault="00EB5624" w:rsidP="007170A8">
            <w:pPr>
              <w:widowControl w:val="0"/>
            </w:pPr>
            <w:r w:rsidRPr="00EB5624">
              <w:t>Emergency Diesel Generator (1,500 kW)</w:t>
            </w:r>
          </w:p>
        </w:tc>
      </w:tr>
      <w:tr w:rsidR="007170A8" w:rsidRPr="007170A8" w:rsidTr="00F1455E">
        <w:trPr>
          <w:trHeight w:val="144"/>
        </w:trPr>
        <w:tc>
          <w:tcPr>
            <w:tcW w:w="1037" w:type="dxa"/>
            <w:tcBorders>
              <w:top w:val="single" w:sz="8" w:space="0" w:color="auto"/>
              <w:bottom w:val="single" w:sz="8" w:space="0" w:color="auto"/>
            </w:tcBorders>
          </w:tcPr>
          <w:p w:rsidR="007170A8" w:rsidRPr="00CC4DC5" w:rsidRDefault="001D1F12" w:rsidP="007170A8">
            <w:pPr>
              <w:widowControl w:val="0"/>
              <w:jc w:val="center"/>
            </w:pPr>
            <w:r>
              <w:t>004</w:t>
            </w:r>
          </w:p>
        </w:tc>
        <w:tc>
          <w:tcPr>
            <w:tcW w:w="8928" w:type="dxa"/>
            <w:tcBorders>
              <w:top w:val="single" w:sz="8" w:space="0" w:color="auto"/>
              <w:bottom w:val="single" w:sz="8" w:space="0" w:color="auto"/>
            </w:tcBorders>
          </w:tcPr>
          <w:p w:rsidR="007170A8" w:rsidRPr="00CC4DC5" w:rsidRDefault="00EB5624" w:rsidP="007170A8">
            <w:pPr>
              <w:widowControl w:val="0"/>
            </w:pPr>
            <w:r w:rsidRPr="00EB5624">
              <w:t>Emergency Fire Pump Engine (347 HP)</w:t>
            </w:r>
          </w:p>
        </w:tc>
      </w:tr>
      <w:tr w:rsidR="007170A8" w:rsidRPr="007170A8" w:rsidTr="00F1455E">
        <w:trPr>
          <w:trHeight w:val="144"/>
        </w:trPr>
        <w:tc>
          <w:tcPr>
            <w:tcW w:w="1037" w:type="dxa"/>
            <w:tcBorders>
              <w:top w:val="single" w:sz="8" w:space="0" w:color="auto"/>
              <w:bottom w:val="single" w:sz="8" w:space="0" w:color="auto"/>
            </w:tcBorders>
          </w:tcPr>
          <w:p w:rsidR="007170A8" w:rsidRPr="00CC4DC5" w:rsidRDefault="001D1F12" w:rsidP="007170A8">
            <w:pPr>
              <w:widowControl w:val="0"/>
              <w:jc w:val="center"/>
            </w:pPr>
            <w:r>
              <w:t>005</w:t>
            </w:r>
          </w:p>
        </w:tc>
        <w:tc>
          <w:tcPr>
            <w:tcW w:w="8928" w:type="dxa"/>
            <w:tcBorders>
              <w:top w:val="single" w:sz="8" w:space="0" w:color="auto"/>
              <w:bottom w:val="single" w:sz="8" w:space="0" w:color="auto"/>
            </w:tcBorders>
          </w:tcPr>
          <w:p w:rsidR="007170A8" w:rsidRPr="00CC4DC5" w:rsidRDefault="007170A8" w:rsidP="007170A8">
            <w:pPr>
              <w:widowControl w:val="0"/>
            </w:pPr>
            <w:r w:rsidRPr="00CC4DC5">
              <w:t xml:space="preserve">Mechanical </w:t>
            </w:r>
            <w:r w:rsidR="000D4CC3" w:rsidRPr="00CC4DC5">
              <w:t>D</w:t>
            </w:r>
            <w:r w:rsidRPr="00CC4DC5">
              <w:t xml:space="preserve">raft </w:t>
            </w:r>
            <w:r w:rsidR="000D4CC3" w:rsidRPr="00CC4DC5">
              <w:t>C</w:t>
            </w:r>
            <w:r w:rsidRPr="00CC4DC5">
              <w:t xml:space="preserve">ooling </w:t>
            </w:r>
            <w:r w:rsidR="000D4CC3" w:rsidRPr="00CC4DC5">
              <w:t>T</w:t>
            </w:r>
            <w:r w:rsidRPr="00CC4DC5">
              <w:t>ower</w:t>
            </w:r>
          </w:p>
        </w:tc>
      </w:tr>
      <w:tr w:rsidR="007170A8" w:rsidRPr="007170A8" w:rsidTr="00F1455E">
        <w:trPr>
          <w:trHeight w:val="144"/>
        </w:trPr>
        <w:tc>
          <w:tcPr>
            <w:tcW w:w="1037" w:type="dxa"/>
            <w:tcBorders>
              <w:top w:val="single" w:sz="8" w:space="0" w:color="auto"/>
              <w:bottom w:val="single" w:sz="12" w:space="0" w:color="auto"/>
            </w:tcBorders>
          </w:tcPr>
          <w:p w:rsidR="007170A8" w:rsidRPr="00CC4DC5" w:rsidRDefault="001D1F12" w:rsidP="007170A8">
            <w:pPr>
              <w:widowControl w:val="0"/>
              <w:jc w:val="center"/>
            </w:pPr>
            <w:r>
              <w:t>006</w:t>
            </w:r>
          </w:p>
        </w:tc>
        <w:tc>
          <w:tcPr>
            <w:tcW w:w="8928" w:type="dxa"/>
            <w:tcBorders>
              <w:top w:val="single" w:sz="8" w:space="0" w:color="auto"/>
              <w:bottom w:val="single" w:sz="12" w:space="0" w:color="auto"/>
            </w:tcBorders>
          </w:tcPr>
          <w:p w:rsidR="007170A8" w:rsidRPr="00CC4DC5" w:rsidRDefault="007170A8" w:rsidP="007170A8">
            <w:pPr>
              <w:widowControl w:val="0"/>
              <w:tabs>
                <w:tab w:val="left" w:pos="630"/>
              </w:tabs>
            </w:pPr>
            <w:r w:rsidRPr="00CC4DC5">
              <w:t xml:space="preserve">Two Circuit </w:t>
            </w:r>
            <w:r w:rsidR="00B367B2">
              <w:t>B</w:t>
            </w:r>
            <w:r w:rsidRPr="00CC4DC5">
              <w:t>reakers</w:t>
            </w:r>
          </w:p>
        </w:tc>
      </w:tr>
    </w:tbl>
    <w:p w:rsidR="003D6065" w:rsidRPr="00877418" w:rsidRDefault="003D6065" w:rsidP="009A17D4">
      <w:pPr>
        <w:pStyle w:val="Caption"/>
        <w:spacing w:before="120" w:after="60"/>
        <w:rPr>
          <w:szCs w:val="22"/>
        </w:rPr>
      </w:pPr>
      <w:r>
        <w:rPr>
          <w:szCs w:val="22"/>
        </w:rPr>
        <w:t>Facility</w:t>
      </w:r>
      <w:r w:rsidR="005702CB">
        <w:rPr>
          <w:szCs w:val="22"/>
        </w:rPr>
        <w:t xml:space="preserve"> (SHGS and SHCCF)</w:t>
      </w:r>
      <w:r>
        <w:rPr>
          <w:szCs w:val="22"/>
        </w:rPr>
        <w:t xml:space="preserve"> </w:t>
      </w:r>
      <w:r w:rsidRPr="00877418">
        <w:rPr>
          <w:szCs w:val="22"/>
        </w:rPr>
        <w:t>Regulatory Classification</w:t>
      </w:r>
    </w:p>
    <w:p w:rsidR="00DF65E9" w:rsidRDefault="00DF65E9" w:rsidP="0017609E">
      <w:pPr>
        <w:numPr>
          <w:ilvl w:val="0"/>
          <w:numId w:val="10"/>
        </w:numPr>
        <w:spacing w:after="120"/>
        <w:rPr>
          <w:sz w:val="22"/>
          <w:szCs w:val="22"/>
        </w:rPr>
      </w:pPr>
      <w:r>
        <w:rPr>
          <w:sz w:val="22"/>
          <w:szCs w:val="22"/>
        </w:rPr>
        <w:t>The facility is not a major source of hazardous air pollutants (HAP).</w:t>
      </w:r>
    </w:p>
    <w:p w:rsidR="00DF65E9" w:rsidRDefault="00DF65E9" w:rsidP="0017609E">
      <w:pPr>
        <w:pStyle w:val="BodyText"/>
        <w:numPr>
          <w:ilvl w:val="0"/>
          <w:numId w:val="10"/>
        </w:numPr>
        <w:rPr>
          <w:sz w:val="22"/>
          <w:szCs w:val="22"/>
        </w:rPr>
      </w:pPr>
      <w:r>
        <w:rPr>
          <w:sz w:val="22"/>
          <w:szCs w:val="22"/>
        </w:rPr>
        <w:t>The facility operates units subject to the acid rain provisions of the Clean Air Act (CAA).</w:t>
      </w:r>
    </w:p>
    <w:p w:rsidR="00DF65E9" w:rsidRDefault="00DF65E9" w:rsidP="0017609E">
      <w:pPr>
        <w:numPr>
          <w:ilvl w:val="0"/>
          <w:numId w:val="10"/>
        </w:numPr>
        <w:spacing w:after="120"/>
        <w:rPr>
          <w:sz w:val="22"/>
          <w:szCs w:val="22"/>
        </w:rPr>
      </w:pPr>
      <w:r>
        <w:rPr>
          <w:sz w:val="22"/>
          <w:szCs w:val="22"/>
        </w:rPr>
        <w:t>The facility is a Title V major source of air pollution in accordance with Chapter 62-213, F.A.C.</w:t>
      </w:r>
    </w:p>
    <w:p w:rsidR="00DF65E9" w:rsidRDefault="00DF65E9" w:rsidP="0017609E">
      <w:pPr>
        <w:numPr>
          <w:ilvl w:val="0"/>
          <w:numId w:val="10"/>
        </w:numPr>
        <w:spacing w:after="120"/>
        <w:rPr>
          <w:sz w:val="22"/>
          <w:szCs w:val="22"/>
        </w:rPr>
      </w:pPr>
      <w:r>
        <w:rPr>
          <w:sz w:val="22"/>
          <w:szCs w:val="22"/>
        </w:rPr>
        <w:t>The facility is a major stationary source in accordance with Rule 62-212.400(PSD), F.A.C.</w:t>
      </w:r>
    </w:p>
    <w:p w:rsidR="00DF65E9" w:rsidRDefault="00DF65E9" w:rsidP="0017609E">
      <w:pPr>
        <w:numPr>
          <w:ilvl w:val="0"/>
          <w:numId w:val="10"/>
        </w:numPr>
        <w:spacing w:after="120"/>
        <w:rPr>
          <w:sz w:val="22"/>
          <w:szCs w:val="22"/>
        </w:rPr>
      </w:pPr>
      <w:bookmarkStart w:id="4" w:name="_Hlk490469968"/>
      <w:r>
        <w:rPr>
          <w:sz w:val="22"/>
          <w:szCs w:val="22"/>
        </w:rPr>
        <w:t>The facility operates units subject to New Source Performance Standards (NSPS) of Title 40, Part 60, of the Code of Federal Regulations (40 CFR 60).</w:t>
      </w:r>
      <w:bookmarkEnd w:id="4"/>
    </w:p>
    <w:p w:rsidR="00BA14C9" w:rsidRPr="0043579D" w:rsidRDefault="00DF65E9" w:rsidP="0017609E">
      <w:pPr>
        <w:numPr>
          <w:ilvl w:val="0"/>
          <w:numId w:val="10"/>
        </w:numPr>
        <w:spacing w:after="120"/>
        <w:rPr>
          <w:sz w:val="22"/>
          <w:szCs w:val="22"/>
        </w:rPr>
      </w:pPr>
      <w:r w:rsidRPr="0043579D">
        <w:rPr>
          <w:sz w:val="22"/>
          <w:szCs w:val="22"/>
        </w:rPr>
        <w:t>The facility operates units subject to National Emissions Standards of Hazardous Air Pollutants (NESHAP) of 40 CFR 63.</w:t>
      </w:r>
    </w:p>
    <w:p w:rsidR="004C4F0F" w:rsidRDefault="004C4F0F">
      <w:pPr>
        <w:ind w:hanging="630"/>
        <w:rPr>
          <w:sz w:val="22"/>
        </w:rPr>
        <w:sectPr w:rsidR="004C4F0F" w:rsidSect="009A17D4">
          <w:headerReference w:type="even" r:id="rId26"/>
          <w:headerReference w:type="default" r:id="rId27"/>
          <w:headerReference w:type="first" r:id="rId28"/>
          <w:pgSz w:w="12240" w:h="15840" w:code="1"/>
          <w:pgMar w:top="15" w:right="1080" w:bottom="720" w:left="1080" w:header="720" w:footer="432" w:gutter="0"/>
          <w:paperSrc w:first="15" w:other="15"/>
          <w:cols w:space="720"/>
          <w:docGrid w:linePitch="272"/>
        </w:sectPr>
      </w:pPr>
    </w:p>
    <w:p w:rsidR="00692695" w:rsidRPr="0017559C" w:rsidRDefault="00692695" w:rsidP="00692695">
      <w:pPr>
        <w:numPr>
          <w:ilvl w:val="0"/>
          <w:numId w:val="5"/>
        </w:numPr>
        <w:spacing w:after="120"/>
        <w:rPr>
          <w:sz w:val="22"/>
        </w:rPr>
      </w:pPr>
      <w:r>
        <w:rPr>
          <w:bCs/>
          <w:sz w:val="22"/>
          <w:u w:val="single"/>
        </w:rPr>
        <w:lastRenderedPageBreak/>
        <w:t>P</w:t>
      </w:r>
      <w:r w:rsidRPr="0017559C">
        <w:rPr>
          <w:bCs/>
          <w:sz w:val="22"/>
          <w:u w:val="single"/>
        </w:rPr>
        <w:t>ermitting Authority</w:t>
      </w:r>
      <w:r w:rsidRPr="0017559C">
        <w:rPr>
          <w:bCs/>
          <w:sz w:val="22"/>
        </w:rPr>
        <w:t xml:space="preserve">:  The Permitting Authority for this project is </w:t>
      </w:r>
      <w:r w:rsidRPr="0017559C">
        <w:rPr>
          <w:sz w:val="22"/>
        </w:rPr>
        <w:t xml:space="preserve">the </w:t>
      </w:r>
      <w:r w:rsidR="006A330C">
        <w:rPr>
          <w:sz w:val="22"/>
        </w:rPr>
        <w:t>Office of Permitting and Compliance</w:t>
      </w:r>
      <w:r w:rsidRPr="0017559C">
        <w:rPr>
          <w:sz w:val="22"/>
        </w:rPr>
        <w:t xml:space="preserve"> in the Division of Air Resource Management of the Department</w:t>
      </w:r>
      <w:r w:rsidR="00EB719D">
        <w:rPr>
          <w:sz w:val="22"/>
        </w:rPr>
        <w:t xml:space="preserve"> of Environmental Protection (Department)</w:t>
      </w:r>
      <w:r>
        <w:rPr>
          <w:sz w:val="22"/>
        </w:rPr>
        <w:t>.</w:t>
      </w:r>
      <w:r w:rsidRPr="0017559C">
        <w:rPr>
          <w:sz w:val="22"/>
        </w:rPr>
        <w:t xml:space="preserve">  The mailing address for the </w:t>
      </w:r>
      <w:r w:rsidR="006A330C">
        <w:rPr>
          <w:sz w:val="22"/>
        </w:rPr>
        <w:t>Office of Permitting and Compliance</w:t>
      </w:r>
      <w:r w:rsidRPr="0017559C">
        <w:rPr>
          <w:sz w:val="22"/>
        </w:rPr>
        <w:t xml:space="preserve"> is 2600 Blair</w:t>
      </w:r>
      <w:r w:rsidR="00CD0FF9">
        <w:rPr>
          <w:sz w:val="22"/>
        </w:rPr>
        <w:t xml:space="preserve"> S</w:t>
      </w:r>
      <w:r w:rsidRPr="0017559C">
        <w:rPr>
          <w:sz w:val="22"/>
        </w:rPr>
        <w:t xml:space="preserve">tone Road, MS #5505, Tallahassee, </w:t>
      </w:r>
      <w:proofErr w:type="gramStart"/>
      <w:r w:rsidRPr="0017559C">
        <w:rPr>
          <w:sz w:val="22"/>
        </w:rPr>
        <w:t>Florida  32399</w:t>
      </w:r>
      <w:proofErr w:type="gramEnd"/>
      <w:r w:rsidRPr="0017559C">
        <w:rPr>
          <w:sz w:val="22"/>
        </w:rPr>
        <w:t>-2400.</w:t>
      </w:r>
      <w:r w:rsidR="00117005">
        <w:rPr>
          <w:sz w:val="22"/>
        </w:rPr>
        <w:t xml:space="preserve"> </w:t>
      </w:r>
      <w:r w:rsidR="00B23E2C" w:rsidRPr="002C1D42">
        <w:rPr>
          <w:sz w:val="22"/>
          <w:szCs w:val="22"/>
        </w:rPr>
        <w:t xml:space="preserve"> </w:t>
      </w:r>
    </w:p>
    <w:p w:rsidR="007426A7" w:rsidRPr="00B81333" w:rsidRDefault="00692695" w:rsidP="007426A7">
      <w:pPr>
        <w:numPr>
          <w:ilvl w:val="0"/>
          <w:numId w:val="5"/>
        </w:numPr>
        <w:spacing w:after="120"/>
        <w:rPr>
          <w:sz w:val="22"/>
        </w:rPr>
      </w:pPr>
      <w:r w:rsidRPr="0017559C">
        <w:rPr>
          <w:bCs/>
          <w:sz w:val="22"/>
          <w:u w:val="single"/>
        </w:rPr>
        <w:t>Compliance Authority</w:t>
      </w:r>
      <w:r w:rsidRPr="0017559C">
        <w:rPr>
          <w:bCs/>
          <w:sz w:val="22"/>
        </w:rPr>
        <w:t xml:space="preserve">:  </w:t>
      </w:r>
      <w:r w:rsidR="007426A7">
        <w:rPr>
          <w:sz w:val="22"/>
        </w:rPr>
        <w:t xml:space="preserve">All documents related to compliance activities such as reports, tests and notifications shall be submitted to the Southwest District Office.  The mailing address and phone number of the Southwest District Office is:  13051 N. Telecom Parkway, Temple Terrace, </w:t>
      </w:r>
      <w:proofErr w:type="gramStart"/>
      <w:r w:rsidR="007426A7">
        <w:rPr>
          <w:sz w:val="22"/>
        </w:rPr>
        <w:t>F</w:t>
      </w:r>
      <w:r w:rsidR="00C97F3A">
        <w:rPr>
          <w:sz w:val="22"/>
        </w:rPr>
        <w:t>lorida</w:t>
      </w:r>
      <w:r w:rsidR="00E435F6">
        <w:rPr>
          <w:sz w:val="22"/>
        </w:rPr>
        <w:t xml:space="preserve"> </w:t>
      </w:r>
      <w:r w:rsidR="007426A7">
        <w:rPr>
          <w:sz w:val="22"/>
        </w:rPr>
        <w:t xml:space="preserve"> 33637</w:t>
      </w:r>
      <w:proofErr w:type="gramEnd"/>
      <w:r w:rsidR="007426A7">
        <w:rPr>
          <w:sz w:val="22"/>
        </w:rPr>
        <w:t xml:space="preserve">-0926, </w:t>
      </w:r>
      <w:r w:rsidR="007426A7">
        <w:rPr>
          <w:sz w:val="22"/>
        </w:rPr>
        <w:br/>
      </w:r>
      <w:r w:rsidR="00E435F6">
        <w:rPr>
          <w:sz w:val="22"/>
        </w:rPr>
        <w:t>813</w:t>
      </w:r>
      <w:r w:rsidR="005E1425" w:rsidRPr="00B81333">
        <w:rPr>
          <w:sz w:val="22"/>
        </w:rPr>
        <w:t>-</w:t>
      </w:r>
      <w:r w:rsidR="007426A7" w:rsidRPr="00B81333">
        <w:rPr>
          <w:sz w:val="22"/>
        </w:rPr>
        <w:t xml:space="preserve">632-7600.  </w:t>
      </w:r>
    </w:p>
    <w:p w:rsidR="00B23E2C" w:rsidRPr="00B81333" w:rsidRDefault="003D6065" w:rsidP="007426A7">
      <w:pPr>
        <w:numPr>
          <w:ilvl w:val="0"/>
          <w:numId w:val="5"/>
        </w:numPr>
        <w:rPr>
          <w:sz w:val="22"/>
          <w:szCs w:val="22"/>
        </w:rPr>
      </w:pPr>
      <w:r w:rsidRPr="00B81333">
        <w:rPr>
          <w:bCs/>
          <w:sz w:val="22"/>
          <w:szCs w:val="22"/>
          <w:u w:val="single"/>
        </w:rPr>
        <w:t>Appendices</w:t>
      </w:r>
      <w:r w:rsidRPr="00B81333">
        <w:rPr>
          <w:bCs/>
          <w:sz w:val="22"/>
          <w:szCs w:val="22"/>
        </w:rPr>
        <w:t xml:space="preserve">:  </w:t>
      </w:r>
      <w:r w:rsidRPr="00B81333">
        <w:rPr>
          <w:sz w:val="22"/>
          <w:szCs w:val="22"/>
        </w:rPr>
        <w:t xml:space="preserve">The following Appendices are attached as a part of this permit:  </w:t>
      </w:r>
    </w:p>
    <w:p w:rsidR="008A441A" w:rsidRPr="008A441A" w:rsidRDefault="008A441A" w:rsidP="008A441A">
      <w:pPr>
        <w:numPr>
          <w:ilvl w:val="0"/>
          <w:numId w:val="11"/>
        </w:numPr>
        <w:rPr>
          <w:sz w:val="22"/>
          <w:szCs w:val="22"/>
        </w:rPr>
      </w:pPr>
      <w:r w:rsidRPr="008A441A">
        <w:rPr>
          <w:sz w:val="22"/>
          <w:szCs w:val="22"/>
        </w:rPr>
        <w:t>Appendix A.  Citation Formats and Glossary of Common Terms</w:t>
      </w:r>
    </w:p>
    <w:p w:rsidR="008A441A" w:rsidRPr="008A441A" w:rsidRDefault="008A441A" w:rsidP="008A441A">
      <w:pPr>
        <w:numPr>
          <w:ilvl w:val="0"/>
          <w:numId w:val="11"/>
        </w:numPr>
        <w:rPr>
          <w:sz w:val="22"/>
          <w:szCs w:val="22"/>
        </w:rPr>
      </w:pPr>
      <w:r w:rsidRPr="008A441A">
        <w:rPr>
          <w:sz w:val="22"/>
          <w:szCs w:val="22"/>
        </w:rPr>
        <w:t>Appendix B.  General Conditions</w:t>
      </w:r>
    </w:p>
    <w:p w:rsidR="008A441A" w:rsidRPr="008A441A" w:rsidRDefault="008A441A" w:rsidP="008A441A">
      <w:pPr>
        <w:numPr>
          <w:ilvl w:val="0"/>
          <w:numId w:val="11"/>
        </w:numPr>
        <w:rPr>
          <w:sz w:val="22"/>
          <w:szCs w:val="22"/>
        </w:rPr>
      </w:pPr>
      <w:r w:rsidRPr="008A441A">
        <w:rPr>
          <w:sz w:val="22"/>
          <w:szCs w:val="22"/>
        </w:rPr>
        <w:t>Appendix C.  Common Conditions</w:t>
      </w:r>
    </w:p>
    <w:p w:rsidR="008A441A" w:rsidRPr="008A441A" w:rsidRDefault="008A441A" w:rsidP="008A441A">
      <w:pPr>
        <w:numPr>
          <w:ilvl w:val="0"/>
          <w:numId w:val="11"/>
        </w:numPr>
        <w:rPr>
          <w:sz w:val="22"/>
          <w:szCs w:val="22"/>
        </w:rPr>
      </w:pPr>
      <w:r w:rsidRPr="008A441A">
        <w:rPr>
          <w:sz w:val="22"/>
          <w:szCs w:val="22"/>
        </w:rPr>
        <w:t>Appendix D.  Common Testing Requirements</w:t>
      </w:r>
    </w:p>
    <w:p w:rsidR="008A441A" w:rsidRPr="008A441A" w:rsidRDefault="008A441A" w:rsidP="008A441A">
      <w:pPr>
        <w:numPr>
          <w:ilvl w:val="0"/>
          <w:numId w:val="11"/>
        </w:numPr>
        <w:rPr>
          <w:sz w:val="22"/>
          <w:szCs w:val="22"/>
        </w:rPr>
      </w:pPr>
      <w:r w:rsidRPr="008A441A">
        <w:rPr>
          <w:sz w:val="22"/>
          <w:szCs w:val="22"/>
        </w:rPr>
        <w:t>Appendix E.  Summary of BACT Determinations</w:t>
      </w:r>
    </w:p>
    <w:p w:rsidR="008A441A" w:rsidRPr="008A441A" w:rsidRDefault="008A441A" w:rsidP="008A441A">
      <w:pPr>
        <w:numPr>
          <w:ilvl w:val="0"/>
          <w:numId w:val="11"/>
        </w:numPr>
        <w:rPr>
          <w:sz w:val="22"/>
          <w:szCs w:val="22"/>
        </w:rPr>
      </w:pPr>
      <w:r w:rsidRPr="008A441A">
        <w:rPr>
          <w:sz w:val="22"/>
          <w:szCs w:val="22"/>
        </w:rPr>
        <w:t>Appendix F.  NSPS, Subpart A, General Provisions</w:t>
      </w:r>
    </w:p>
    <w:p w:rsidR="008A441A" w:rsidRPr="008A441A" w:rsidRDefault="008A441A" w:rsidP="008A441A">
      <w:pPr>
        <w:numPr>
          <w:ilvl w:val="0"/>
          <w:numId w:val="11"/>
        </w:numPr>
        <w:tabs>
          <w:tab w:val="clear" w:pos="720"/>
          <w:tab w:val="num" w:pos="1170"/>
        </w:tabs>
        <w:rPr>
          <w:sz w:val="22"/>
          <w:szCs w:val="22"/>
        </w:rPr>
      </w:pPr>
      <w:r w:rsidRPr="008A441A">
        <w:rPr>
          <w:sz w:val="22"/>
          <w:szCs w:val="22"/>
        </w:rPr>
        <w:t>Appendix G.  NSPS, Subpart Dc, Requirements for Small Industrial-Commercial-Institutional Steam Generating Units</w:t>
      </w:r>
    </w:p>
    <w:p w:rsidR="008A441A" w:rsidRPr="008A441A" w:rsidRDefault="008A441A" w:rsidP="008A441A">
      <w:pPr>
        <w:numPr>
          <w:ilvl w:val="0"/>
          <w:numId w:val="11"/>
        </w:numPr>
        <w:tabs>
          <w:tab w:val="clear" w:pos="720"/>
          <w:tab w:val="num" w:pos="1170"/>
        </w:tabs>
        <w:rPr>
          <w:sz w:val="22"/>
          <w:szCs w:val="22"/>
        </w:rPr>
      </w:pPr>
      <w:r w:rsidRPr="008A441A">
        <w:rPr>
          <w:sz w:val="22"/>
          <w:szCs w:val="22"/>
        </w:rPr>
        <w:t>Appendix H.  NSPS, Subpart IIII, Requirements for Stationary Compression Ignition Internal Combustion Engines</w:t>
      </w:r>
    </w:p>
    <w:p w:rsidR="008A441A" w:rsidRPr="008A441A" w:rsidRDefault="008A441A" w:rsidP="008A441A">
      <w:pPr>
        <w:numPr>
          <w:ilvl w:val="0"/>
          <w:numId w:val="11"/>
        </w:numPr>
        <w:tabs>
          <w:tab w:val="clear" w:pos="720"/>
          <w:tab w:val="num" w:pos="1170"/>
        </w:tabs>
        <w:rPr>
          <w:sz w:val="22"/>
          <w:szCs w:val="22"/>
        </w:rPr>
      </w:pPr>
      <w:r w:rsidRPr="008A441A">
        <w:rPr>
          <w:sz w:val="22"/>
          <w:szCs w:val="22"/>
        </w:rPr>
        <w:t>Appendix I.  NSPS, Subpart KKKK, Requirements for Gas Turbines and Duct Burners</w:t>
      </w:r>
    </w:p>
    <w:p w:rsidR="008A441A" w:rsidRPr="008A441A" w:rsidRDefault="008A441A" w:rsidP="008A441A">
      <w:pPr>
        <w:numPr>
          <w:ilvl w:val="0"/>
          <w:numId w:val="11"/>
        </w:numPr>
        <w:tabs>
          <w:tab w:val="clear" w:pos="720"/>
          <w:tab w:val="num" w:pos="1170"/>
        </w:tabs>
        <w:rPr>
          <w:sz w:val="22"/>
          <w:szCs w:val="22"/>
        </w:rPr>
      </w:pPr>
      <w:r w:rsidRPr="008A441A">
        <w:rPr>
          <w:sz w:val="22"/>
          <w:szCs w:val="22"/>
        </w:rPr>
        <w:t>Appendix J.  NSPS, Subpart TTTT, Requirements for Greenhouse Gas Emissions from Electric Generating Units</w:t>
      </w:r>
    </w:p>
    <w:p w:rsidR="008A441A" w:rsidRPr="008A441A" w:rsidRDefault="008A441A" w:rsidP="008A441A">
      <w:pPr>
        <w:numPr>
          <w:ilvl w:val="0"/>
          <w:numId w:val="11"/>
        </w:numPr>
        <w:rPr>
          <w:sz w:val="22"/>
          <w:szCs w:val="22"/>
        </w:rPr>
      </w:pPr>
      <w:r w:rsidRPr="008A441A">
        <w:rPr>
          <w:sz w:val="22"/>
          <w:szCs w:val="22"/>
        </w:rPr>
        <w:t>Appendix K.  NESHAP, Subpart A, General Provisions</w:t>
      </w:r>
    </w:p>
    <w:p w:rsidR="007426A7" w:rsidRPr="00B81333" w:rsidRDefault="008A441A" w:rsidP="008A441A">
      <w:pPr>
        <w:numPr>
          <w:ilvl w:val="0"/>
          <w:numId w:val="11"/>
        </w:numPr>
        <w:rPr>
          <w:sz w:val="22"/>
          <w:szCs w:val="22"/>
        </w:rPr>
      </w:pPr>
      <w:r w:rsidRPr="008A441A">
        <w:rPr>
          <w:sz w:val="22"/>
          <w:szCs w:val="22"/>
        </w:rPr>
        <w:t>Appendix L.  NESHAP, Subpart ZZZZ, Requirements for Reciprocating Internal Combustion Engines</w:t>
      </w:r>
      <w:r w:rsidR="007426A7" w:rsidRPr="00B81333">
        <w:rPr>
          <w:sz w:val="22"/>
          <w:szCs w:val="22"/>
        </w:rPr>
        <w:t>.</w:t>
      </w:r>
    </w:p>
    <w:p w:rsidR="00692695" w:rsidRPr="00B81333" w:rsidRDefault="00692695" w:rsidP="008A441A">
      <w:pPr>
        <w:numPr>
          <w:ilvl w:val="0"/>
          <w:numId w:val="5"/>
        </w:numPr>
        <w:spacing w:before="120" w:after="120"/>
        <w:rPr>
          <w:sz w:val="22"/>
        </w:rPr>
      </w:pPr>
      <w:r w:rsidRPr="00B81333">
        <w:rPr>
          <w:sz w:val="22"/>
          <w:u w:val="single"/>
        </w:rPr>
        <w:t>Applicable Regulations, Forms and Application Procedures</w:t>
      </w:r>
      <w:r w:rsidRPr="00B81333">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692695" w:rsidRPr="00B81333" w:rsidRDefault="00692695" w:rsidP="00692695">
      <w:pPr>
        <w:numPr>
          <w:ilvl w:val="0"/>
          <w:numId w:val="5"/>
        </w:numPr>
        <w:spacing w:after="120"/>
        <w:rPr>
          <w:sz w:val="22"/>
        </w:rPr>
      </w:pPr>
      <w:r w:rsidRPr="00B81333">
        <w:rPr>
          <w:sz w:val="22"/>
          <w:u w:val="single"/>
        </w:rPr>
        <w:t>New or Additional Conditions</w:t>
      </w:r>
      <w:r w:rsidRPr="00B81333">
        <w:rPr>
          <w:sz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692695" w:rsidRPr="00B81333" w:rsidRDefault="00692695" w:rsidP="00692695">
      <w:pPr>
        <w:numPr>
          <w:ilvl w:val="0"/>
          <w:numId w:val="5"/>
        </w:numPr>
        <w:spacing w:after="120"/>
        <w:rPr>
          <w:sz w:val="22"/>
        </w:rPr>
      </w:pPr>
      <w:r w:rsidRPr="00B81333">
        <w:rPr>
          <w:sz w:val="22"/>
          <w:u w:val="single"/>
        </w:rPr>
        <w:t>Modifications</w:t>
      </w:r>
      <w:r w:rsidRPr="00B81333">
        <w:rPr>
          <w:sz w:val="22"/>
        </w:rPr>
        <w:t>:  No emissions unit shall be constructed or modified without obtaining an air construction permit from the Department.  Such permit shall be obtained prior to beginning construction or modification.  [Rules 62-210.300(1) and 62-212.300(1)(a), F.A.C.]</w:t>
      </w:r>
    </w:p>
    <w:p w:rsidR="00A32A27" w:rsidRPr="00B81333" w:rsidRDefault="00A32A27" w:rsidP="00DD4031">
      <w:pPr>
        <w:numPr>
          <w:ilvl w:val="0"/>
          <w:numId w:val="5"/>
        </w:numPr>
        <w:spacing w:after="120"/>
        <w:rPr>
          <w:sz w:val="22"/>
          <w:szCs w:val="22"/>
        </w:rPr>
      </w:pPr>
      <w:r w:rsidRPr="00B81333">
        <w:rPr>
          <w:sz w:val="22"/>
          <w:szCs w:val="22"/>
          <w:u w:val="single"/>
        </w:rPr>
        <w:t>Construction and Expiration</w:t>
      </w:r>
      <w:r w:rsidR="00C800DA" w:rsidRPr="00B81333">
        <w:rPr>
          <w:sz w:val="22"/>
          <w:szCs w:val="22"/>
        </w:rPr>
        <w:t xml:space="preserve">.  </w:t>
      </w:r>
      <w:r w:rsidRPr="00B81333">
        <w:rPr>
          <w:sz w:val="22"/>
          <w:szCs w:val="22"/>
        </w:rPr>
        <w:t>The expiration date shown on the first page of this permit provides time to complete the physical construction activities authorized by this permit, complete any necessary compliance testing, a</w:t>
      </w:r>
      <w:r w:rsidR="00C800DA" w:rsidRPr="00B81333">
        <w:rPr>
          <w:sz w:val="22"/>
          <w:szCs w:val="22"/>
        </w:rPr>
        <w:t xml:space="preserve">nd obtain an operation permit.  </w:t>
      </w:r>
      <w:r w:rsidRPr="00B81333">
        <w:rPr>
          <w:sz w:val="22"/>
          <w:szCs w:val="22"/>
        </w:rPr>
        <w:t>Notwithstanding this expiration date, all specific emissions limitations and operating requirements established by this permit shall remain in effect until the facility or emissions</w:t>
      </w:r>
      <w:r w:rsidR="00C800DA" w:rsidRPr="00B81333">
        <w:rPr>
          <w:sz w:val="22"/>
          <w:szCs w:val="22"/>
        </w:rPr>
        <w:t xml:space="preserve"> unit is permanently shut down. </w:t>
      </w:r>
      <w:r w:rsidRPr="00B81333">
        <w:rPr>
          <w:sz w:val="22"/>
          <w:szCs w:val="22"/>
        </w:rPr>
        <w:t xml:space="preserve"> For good cause, the permittee may request t</w:t>
      </w:r>
      <w:r w:rsidR="00C800DA" w:rsidRPr="00B81333">
        <w:rPr>
          <w:sz w:val="22"/>
          <w:szCs w:val="22"/>
        </w:rPr>
        <w:t xml:space="preserve">hat that a permit be extended.  </w:t>
      </w:r>
      <w:r w:rsidRPr="00B81333">
        <w:rPr>
          <w:sz w:val="22"/>
          <w:szCs w:val="22"/>
        </w:rPr>
        <w:t>Pursuant to Rule 62-4.080(3), F.A.C., such a request shall be submitted to the Permitting Authority in writ</w:t>
      </w:r>
      <w:r w:rsidR="00B9087A">
        <w:rPr>
          <w:sz w:val="22"/>
          <w:szCs w:val="22"/>
        </w:rPr>
        <w:t xml:space="preserve">ing before the permit expires.  </w:t>
      </w:r>
      <w:r w:rsidRPr="00B81333">
        <w:rPr>
          <w:sz w:val="22"/>
          <w:szCs w:val="22"/>
        </w:rPr>
        <w:t>[Rules 62-4.070</w:t>
      </w:r>
      <w:r w:rsidR="00403D40" w:rsidRPr="00B81333">
        <w:rPr>
          <w:sz w:val="22"/>
          <w:szCs w:val="22"/>
        </w:rPr>
        <w:t xml:space="preserve">(3) &amp; </w:t>
      </w:r>
      <w:r w:rsidRPr="00B81333">
        <w:rPr>
          <w:sz w:val="22"/>
          <w:szCs w:val="22"/>
        </w:rPr>
        <w:t>(4), 62-4.080 &amp; 62-210.300(1), F.A.C.]</w:t>
      </w:r>
    </w:p>
    <w:p w:rsidR="00692695" w:rsidRPr="00B81333" w:rsidRDefault="00692695" w:rsidP="00DD4031">
      <w:pPr>
        <w:numPr>
          <w:ilvl w:val="0"/>
          <w:numId w:val="5"/>
        </w:numPr>
        <w:spacing w:after="120"/>
        <w:rPr>
          <w:sz w:val="22"/>
          <w:szCs w:val="22"/>
        </w:rPr>
      </w:pPr>
      <w:r w:rsidRPr="00B81333">
        <w:rPr>
          <w:sz w:val="22"/>
          <w:szCs w:val="22"/>
          <w:u w:val="single"/>
        </w:rPr>
        <w:t>Source Obligation</w:t>
      </w:r>
      <w:r w:rsidRPr="00B81333">
        <w:rPr>
          <w:sz w:val="22"/>
          <w:szCs w:val="22"/>
        </w:rPr>
        <w:t>:</w:t>
      </w:r>
    </w:p>
    <w:p w:rsidR="00692695" w:rsidRPr="00B81333" w:rsidRDefault="00692695" w:rsidP="0017609E">
      <w:pPr>
        <w:pStyle w:val="ListParagraph"/>
        <w:numPr>
          <w:ilvl w:val="0"/>
          <w:numId w:val="7"/>
        </w:numPr>
        <w:autoSpaceDE w:val="0"/>
        <w:autoSpaceDN w:val="0"/>
        <w:adjustRightInd w:val="0"/>
        <w:spacing w:after="120"/>
        <w:contextualSpacing w:val="0"/>
        <w:rPr>
          <w:sz w:val="22"/>
          <w:szCs w:val="22"/>
        </w:rPr>
      </w:pPr>
      <w:r w:rsidRPr="00B81333">
        <w:rPr>
          <w:sz w:val="22"/>
          <w:szCs w:val="22"/>
        </w:rPr>
        <w:t xml:space="preserve">Authorization to construct shall expire if construction is not commenced within 18 months after receipt of the permit, if construction is discontinued for a period of 18 months or more, or if construction is not completed within a reasonable time.  This provision does not apply to the </w:t>
      </w:r>
      <w:proofErr w:type="gramStart"/>
      <w:r w:rsidRPr="00B81333">
        <w:rPr>
          <w:sz w:val="22"/>
          <w:szCs w:val="22"/>
        </w:rPr>
        <w:t>time period</w:t>
      </w:r>
      <w:proofErr w:type="gramEnd"/>
      <w:r w:rsidRPr="00B81333">
        <w:rPr>
          <w:sz w:val="22"/>
          <w:szCs w:val="22"/>
        </w:rPr>
        <w:t xml:space="preserve"> between </w:t>
      </w:r>
      <w:r w:rsidRPr="00B81333">
        <w:rPr>
          <w:sz w:val="22"/>
          <w:szCs w:val="22"/>
        </w:rPr>
        <w:lastRenderedPageBreak/>
        <w:t>construction of the approved phases of a phased construction project except that each phase must commence construction within 18 months of the commencement date established by the Department in the permit.</w:t>
      </w:r>
    </w:p>
    <w:p w:rsidR="00692695" w:rsidRPr="00B81333" w:rsidRDefault="00692695" w:rsidP="0017609E">
      <w:pPr>
        <w:pStyle w:val="ListParagraph"/>
        <w:numPr>
          <w:ilvl w:val="0"/>
          <w:numId w:val="7"/>
        </w:numPr>
        <w:autoSpaceDE w:val="0"/>
        <w:autoSpaceDN w:val="0"/>
        <w:adjustRightInd w:val="0"/>
        <w:spacing w:after="120"/>
        <w:contextualSpacing w:val="0"/>
        <w:rPr>
          <w:sz w:val="22"/>
          <w:szCs w:val="22"/>
        </w:rPr>
      </w:pPr>
      <w:r w:rsidRPr="00B81333">
        <w:rPr>
          <w:sz w:val="22"/>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692695" w:rsidRPr="00B81333" w:rsidRDefault="00692695" w:rsidP="0017609E">
      <w:pPr>
        <w:pStyle w:val="ListParagraph"/>
        <w:numPr>
          <w:ilvl w:val="0"/>
          <w:numId w:val="7"/>
        </w:numPr>
        <w:autoSpaceDE w:val="0"/>
        <w:autoSpaceDN w:val="0"/>
        <w:adjustRightInd w:val="0"/>
        <w:spacing w:after="120"/>
        <w:contextualSpacing w:val="0"/>
        <w:rPr>
          <w:sz w:val="22"/>
          <w:szCs w:val="22"/>
        </w:rPr>
      </w:pPr>
      <w:r w:rsidRPr="00B81333">
        <w:rPr>
          <w:sz w:val="22"/>
          <w:szCs w:val="22"/>
        </w:rPr>
        <w:t xml:space="preserve">At such time that a </w:t>
      </w:r>
      <w:proofErr w:type="gramStart"/>
      <w:r w:rsidRPr="00B81333">
        <w:rPr>
          <w:sz w:val="22"/>
          <w:szCs w:val="22"/>
        </w:rPr>
        <w:t>particular source</w:t>
      </w:r>
      <w:proofErr w:type="gramEnd"/>
      <w:r w:rsidRPr="00B81333">
        <w:rPr>
          <w:sz w:val="22"/>
          <w:szCs w:val="22"/>
        </w:rPr>
        <w:t xml:space="preserv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692695" w:rsidRPr="00692695" w:rsidRDefault="00DD4031" w:rsidP="00DD4031">
      <w:pPr>
        <w:autoSpaceDE w:val="0"/>
        <w:autoSpaceDN w:val="0"/>
        <w:adjustRightInd w:val="0"/>
        <w:spacing w:after="120"/>
        <w:ind w:left="360"/>
        <w:rPr>
          <w:sz w:val="22"/>
          <w:szCs w:val="22"/>
        </w:rPr>
      </w:pPr>
      <w:r>
        <w:rPr>
          <w:sz w:val="22"/>
          <w:szCs w:val="22"/>
        </w:rPr>
        <w:t>[Rule 62-212.400(12), F.A.C.]</w:t>
      </w:r>
    </w:p>
    <w:p w:rsidR="000072B0" w:rsidRPr="000072B0" w:rsidRDefault="000072B0" w:rsidP="000072B0">
      <w:pPr>
        <w:numPr>
          <w:ilvl w:val="0"/>
          <w:numId w:val="5"/>
        </w:numPr>
        <w:spacing w:after="120"/>
        <w:rPr>
          <w:sz w:val="22"/>
        </w:rPr>
      </w:pPr>
      <w:r w:rsidRPr="000072B0">
        <w:rPr>
          <w:sz w:val="22"/>
          <w:u w:val="single"/>
        </w:rPr>
        <w:t>Title V Permit</w:t>
      </w:r>
      <w:r w:rsidRPr="000072B0">
        <w:rPr>
          <w:sz w:val="22"/>
        </w:rPr>
        <w:t>:  This permit authorizes new construction o</w:t>
      </w:r>
      <w:r w:rsidR="004A78A8">
        <w:rPr>
          <w:sz w:val="22"/>
        </w:rPr>
        <w:t>f</w:t>
      </w:r>
      <w:r w:rsidRPr="000072B0">
        <w:rPr>
          <w:sz w:val="22"/>
        </w:rPr>
        <w:t xml:space="preserve"> the affected emissions units as well as initial operation to determine compliance with conditions of this permit.  A Title V operation permit is required for regular operation of the permitted emissions unit.  The permittee shall apply for a Title V operation permit at least 90 days prior to expiration of this permit, but no later than 180 days after completing the required work and commencing operation.  To apply for a Title V operation permit, the applicant shall submit the appropriate application form, compliance test results, and such additional information as the Department may by law require.  </w:t>
      </w:r>
      <w:bookmarkStart w:id="5" w:name="_Hlk492042579"/>
      <w:r w:rsidRPr="000072B0">
        <w:rPr>
          <w:sz w:val="22"/>
        </w:rPr>
        <w:t>The application shall be submitted to the appropriate Permitting Authority with copies to each Compliance Authority</w:t>
      </w:r>
      <w:bookmarkEnd w:id="5"/>
      <w:r w:rsidRPr="000072B0">
        <w:rPr>
          <w:sz w:val="22"/>
        </w:rPr>
        <w:t>.  [Rules 62-4.030, 62-4.050 and Chapter 62-213, F.A.C.]</w:t>
      </w:r>
    </w:p>
    <w:p w:rsidR="000072B0" w:rsidRPr="000072B0" w:rsidRDefault="000072B0" w:rsidP="000072B0">
      <w:pPr>
        <w:widowControl w:val="0"/>
        <w:numPr>
          <w:ilvl w:val="0"/>
          <w:numId w:val="5"/>
        </w:numPr>
        <w:spacing w:after="120"/>
        <w:rPr>
          <w:sz w:val="22"/>
        </w:rPr>
      </w:pPr>
      <w:r w:rsidRPr="000072B0">
        <w:rPr>
          <w:sz w:val="22"/>
          <w:szCs w:val="22"/>
          <w:u w:val="single"/>
        </w:rPr>
        <w:t>Annual Operating Report (AOR)</w:t>
      </w:r>
      <w:r w:rsidRPr="000072B0">
        <w:rPr>
          <w:sz w:val="22"/>
          <w:szCs w:val="22"/>
        </w:rPr>
        <w:t>:  The owner or operator shall submit an AOR for the Air Pollutant Emitting Facility (DEP Form No. 62-210.900(5)) to the Department annually pursuant to subsection 62-210.370(3), F.A.C.</w:t>
      </w:r>
    </w:p>
    <w:p w:rsidR="000072B0" w:rsidRPr="000072B0" w:rsidRDefault="000072B0" w:rsidP="000072B0">
      <w:pPr>
        <w:numPr>
          <w:ilvl w:val="0"/>
          <w:numId w:val="5"/>
        </w:numPr>
        <w:spacing w:after="60"/>
        <w:rPr>
          <w:sz w:val="22"/>
        </w:rPr>
      </w:pPr>
      <w:bookmarkStart w:id="6" w:name="_Ref499640187"/>
      <w:r w:rsidRPr="000072B0">
        <w:rPr>
          <w:sz w:val="22"/>
          <w:u w:val="single"/>
        </w:rPr>
        <w:t>Methane Measurement</w:t>
      </w:r>
      <w:r w:rsidRPr="000072B0">
        <w:rPr>
          <w:sz w:val="22"/>
        </w:rPr>
        <w:t>:</w:t>
      </w:r>
      <w:bookmarkEnd w:id="6"/>
    </w:p>
    <w:p w:rsidR="000072B0" w:rsidRDefault="00111EAD" w:rsidP="003B60A2">
      <w:pPr>
        <w:numPr>
          <w:ilvl w:val="0"/>
          <w:numId w:val="12"/>
        </w:numPr>
        <w:autoSpaceDE w:val="0"/>
        <w:autoSpaceDN w:val="0"/>
        <w:adjustRightInd w:val="0"/>
        <w:spacing w:after="60"/>
        <w:rPr>
          <w:sz w:val="22"/>
        </w:rPr>
      </w:pPr>
      <w:r w:rsidRPr="00111EAD">
        <w:rPr>
          <w:sz w:val="22"/>
        </w:rPr>
        <w:t xml:space="preserve">The permittee shall monitor and record the following: </w:t>
      </w:r>
      <w:r>
        <w:rPr>
          <w:sz w:val="22"/>
        </w:rPr>
        <w:t>(</w:t>
      </w:r>
      <w:r w:rsidRPr="00111EAD">
        <w:rPr>
          <w:sz w:val="22"/>
        </w:rPr>
        <w:t xml:space="preserve">1) gas flow at the inlet to the SHCCF gas yard, (2) gas consumed by the SHCCF combustion turbine (EU No. </w:t>
      </w:r>
      <w:r w:rsidR="00C1612A">
        <w:rPr>
          <w:sz w:val="22"/>
        </w:rPr>
        <w:t>001</w:t>
      </w:r>
      <w:r w:rsidRPr="00111EAD">
        <w:rPr>
          <w:sz w:val="22"/>
        </w:rPr>
        <w:t xml:space="preserve">), (3) gas consumed by the duct burner, and (4) gas consumed by the SHCCF auxiliary boiler (EU No. </w:t>
      </w:r>
      <w:r w:rsidR="001D1F12">
        <w:rPr>
          <w:sz w:val="22"/>
        </w:rPr>
        <w:t>002</w:t>
      </w:r>
      <w:r w:rsidRPr="00111EAD">
        <w:rPr>
          <w:sz w:val="22"/>
        </w:rPr>
        <w:t xml:space="preserve">). </w:t>
      </w:r>
      <w:r w:rsidR="008164A8">
        <w:rPr>
          <w:sz w:val="22"/>
        </w:rPr>
        <w:t xml:space="preserve"> </w:t>
      </w:r>
      <w:r w:rsidRPr="00111EAD">
        <w:rPr>
          <w:sz w:val="22"/>
        </w:rPr>
        <w:t xml:space="preserve">At the end of each calendar month, the permittee shall calculate the amount of methane difference for the month. </w:t>
      </w:r>
      <w:r w:rsidR="008164A8">
        <w:rPr>
          <w:sz w:val="22"/>
        </w:rPr>
        <w:t xml:space="preserve"> </w:t>
      </w:r>
      <w:r w:rsidRPr="00111EAD">
        <w:rPr>
          <w:sz w:val="22"/>
        </w:rPr>
        <w:t xml:space="preserve">The amount of methane difference shall be calculated as the difference between the gas flow into the SHCCF (Item 1) and the gas consumed by the emissions units of the SHCCF (Items 2, </w:t>
      </w:r>
      <w:r>
        <w:rPr>
          <w:sz w:val="22"/>
        </w:rPr>
        <w:t>3, and 4).  Estimates of a</w:t>
      </w:r>
      <w:r w:rsidRPr="00111EAD">
        <w:rPr>
          <w:sz w:val="22"/>
        </w:rPr>
        <w:t>ny natural gas required to be evacuated for safety reasons, based on engineer</w:t>
      </w:r>
      <w:r w:rsidR="00DB32E6">
        <w:rPr>
          <w:sz w:val="22"/>
        </w:rPr>
        <w:t>ing</w:t>
      </w:r>
      <w:r w:rsidRPr="00111EAD">
        <w:rPr>
          <w:sz w:val="22"/>
        </w:rPr>
        <w:t xml:space="preserve"> calculations, may be deducted from the monthly methane difference. </w:t>
      </w:r>
      <w:r>
        <w:rPr>
          <w:sz w:val="22"/>
        </w:rPr>
        <w:t xml:space="preserve"> </w:t>
      </w:r>
      <w:r w:rsidRPr="00111EAD">
        <w:rPr>
          <w:sz w:val="22"/>
        </w:rPr>
        <w:t>The following methodology will be used:</w:t>
      </w:r>
    </w:p>
    <w:p w:rsidR="00111EAD" w:rsidRPr="00111EAD" w:rsidRDefault="00111EAD" w:rsidP="00111EAD">
      <w:pPr>
        <w:autoSpaceDE w:val="0"/>
        <w:autoSpaceDN w:val="0"/>
        <w:adjustRightInd w:val="0"/>
        <w:spacing w:after="60"/>
        <w:ind w:left="720"/>
        <w:rPr>
          <w:sz w:val="22"/>
        </w:rPr>
      </w:pPr>
      <w:r w:rsidRPr="00111EAD">
        <w:rPr>
          <w:sz w:val="22"/>
        </w:rPr>
        <w:t>Monthly methane difference (</w:t>
      </w:r>
      <w:proofErr w:type="spellStart"/>
      <w:r w:rsidRPr="00111EAD">
        <w:rPr>
          <w:sz w:val="22"/>
        </w:rPr>
        <w:t>scf</w:t>
      </w:r>
      <w:proofErr w:type="spellEnd"/>
      <w:r w:rsidRPr="00111EAD">
        <w:rPr>
          <w:sz w:val="22"/>
        </w:rPr>
        <w:t>/month) =</w:t>
      </w:r>
    </w:p>
    <w:p w:rsidR="00111EAD" w:rsidRPr="00111EAD" w:rsidRDefault="00111EAD" w:rsidP="00111EAD">
      <w:pPr>
        <w:autoSpaceDE w:val="0"/>
        <w:autoSpaceDN w:val="0"/>
        <w:adjustRightInd w:val="0"/>
        <w:spacing w:after="60"/>
        <w:ind w:left="720"/>
        <w:rPr>
          <w:sz w:val="22"/>
        </w:rPr>
      </w:pPr>
      <w:r w:rsidRPr="00111EAD">
        <w:rPr>
          <w:sz w:val="22"/>
        </w:rPr>
        <w:t>Monthly average methane content of the natural gas (NG) (%) x</w:t>
      </w:r>
    </w:p>
    <w:p w:rsidR="00111EAD" w:rsidRPr="00111EAD" w:rsidRDefault="00111EAD" w:rsidP="00111EAD">
      <w:pPr>
        <w:autoSpaceDE w:val="0"/>
        <w:autoSpaceDN w:val="0"/>
        <w:adjustRightInd w:val="0"/>
        <w:spacing w:after="60"/>
        <w:ind w:left="720"/>
        <w:rPr>
          <w:sz w:val="22"/>
        </w:rPr>
      </w:pPr>
      <w:r w:rsidRPr="00111EAD">
        <w:rPr>
          <w:sz w:val="22"/>
        </w:rPr>
        <w:t>[Total monthly NG flow at gas yard inlet (</w:t>
      </w:r>
      <w:proofErr w:type="spellStart"/>
      <w:r w:rsidRPr="00111EAD">
        <w:rPr>
          <w:sz w:val="22"/>
        </w:rPr>
        <w:t>scf</w:t>
      </w:r>
      <w:proofErr w:type="spellEnd"/>
      <w:r w:rsidRPr="00111EAD">
        <w:rPr>
          <w:sz w:val="22"/>
        </w:rPr>
        <w:t xml:space="preserve">/month) </w:t>
      </w:r>
      <w:r w:rsidRPr="00111EAD">
        <w:rPr>
          <w:b/>
          <w:i/>
          <w:sz w:val="22"/>
        </w:rPr>
        <w:t>minus</w:t>
      </w:r>
    </w:p>
    <w:p w:rsidR="00111EAD" w:rsidRPr="00111EAD" w:rsidRDefault="00111EAD" w:rsidP="00111EAD">
      <w:pPr>
        <w:autoSpaceDE w:val="0"/>
        <w:autoSpaceDN w:val="0"/>
        <w:adjustRightInd w:val="0"/>
        <w:spacing w:after="60"/>
        <w:ind w:left="720"/>
        <w:rPr>
          <w:sz w:val="22"/>
        </w:rPr>
      </w:pPr>
      <w:r w:rsidRPr="00111EAD">
        <w:rPr>
          <w:sz w:val="22"/>
        </w:rPr>
        <w:t xml:space="preserve">Total monthly NG flow into EU </w:t>
      </w:r>
      <w:r w:rsidR="00C1612A">
        <w:rPr>
          <w:sz w:val="22"/>
        </w:rPr>
        <w:t>001</w:t>
      </w:r>
      <w:r w:rsidRPr="00111EAD">
        <w:rPr>
          <w:sz w:val="22"/>
        </w:rPr>
        <w:t xml:space="preserve"> </w:t>
      </w:r>
      <w:r w:rsidR="003C2E58" w:rsidRPr="00111EAD">
        <w:rPr>
          <w:sz w:val="22"/>
        </w:rPr>
        <w:t>(</w:t>
      </w:r>
      <w:proofErr w:type="spellStart"/>
      <w:r w:rsidR="003C2E58" w:rsidRPr="00111EAD">
        <w:rPr>
          <w:sz w:val="22"/>
        </w:rPr>
        <w:t>scf</w:t>
      </w:r>
      <w:proofErr w:type="spellEnd"/>
      <w:r w:rsidR="003C2E58" w:rsidRPr="00111EAD">
        <w:rPr>
          <w:sz w:val="22"/>
        </w:rPr>
        <w:t xml:space="preserve">/month) </w:t>
      </w:r>
      <w:r w:rsidRPr="00111EAD">
        <w:rPr>
          <w:b/>
          <w:i/>
          <w:sz w:val="22"/>
        </w:rPr>
        <w:t>minus</w:t>
      </w:r>
    </w:p>
    <w:p w:rsidR="00111EAD" w:rsidRPr="00111EAD" w:rsidRDefault="00111EAD" w:rsidP="00111EAD">
      <w:pPr>
        <w:autoSpaceDE w:val="0"/>
        <w:autoSpaceDN w:val="0"/>
        <w:adjustRightInd w:val="0"/>
        <w:spacing w:after="60"/>
        <w:ind w:left="720"/>
        <w:rPr>
          <w:sz w:val="22"/>
        </w:rPr>
      </w:pPr>
      <w:r w:rsidRPr="00111EAD">
        <w:rPr>
          <w:sz w:val="22"/>
        </w:rPr>
        <w:t>Total monthly NG flow into EU</w:t>
      </w:r>
      <w:r w:rsidR="001D1F12">
        <w:rPr>
          <w:sz w:val="22"/>
        </w:rPr>
        <w:t>002</w:t>
      </w:r>
      <w:r w:rsidR="003C2E58">
        <w:rPr>
          <w:sz w:val="22"/>
        </w:rPr>
        <w:t xml:space="preserve"> </w:t>
      </w:r>
      <w:r w:rsidR="003C2E58" w:rsidRPr="00111EAD">
        <w:rPr>
          <w:sz w:val="22"/>
        </w:rPr>
        <w:t>(</w:t>
      </w:r>
      <w:proofErr w:type="spellStart"/>
      <w:r w:rsidR="003C2E58" w:rsidRPr="00111EAD">
        <w:rPr>
          <w:sz w:val="22"/>
        </w:rPr>
        <w:t>scf</w:t>
      </w:r>
      <w:proofErr w:type="spellEnd"/>
      <w:r w:rsidR="003C2E58" w:rsidRPr="00111EAD">
        <w:rPr>
          <w:sz w:val="22"/>
        </w:rPr>
        <w:t xml:space="preserve">/month) </w:t>
      </w:r>
      <w:r w:rsidRPr="00111EAD">
        <w:rPr>
          <w:b/>
          <w:i/>
          <w:sz w:val="22"/>
        </w:rPr>
        <w:t>minus</w:t>
      </w:r>
    </w:p>
    <w:p w:rsidR="00111EAD" w:rsidRPr="00111EAD" w:rsidRDefault="00111EAD" w:rsidP="00111EAD">
      <w:pPr>
        <w:autoSpaceDE w:val="0"/>
        <w:autoSpaceDN w:val="0"/>
        <w:adjustRightInd w:val="0"/>
        <w:spacing w:after="60"/>
        <w:ind w:left="720"/>
        <w:rPr>
          <w:sz w:val="22"/>
        </w:rPr>
      </w:pPr>
      <w:r w:rsidRPr="00111EAD">
        <w:rPr>
          <w:sz w:val="22"/>
        </w:rPr>
        <w:t xml:space="preserve">Total monthly NG flow into duct burner </w:t>
      </w:r>
      <w:r w:rsidR="003C2E58" w:rsidRPr="00111EAD">
        <w:rPr>
          <w:sz w:val="22"/>
        </w:rPr>
        <w:t>(</w:t>
      </w:r>
      <w:proofErr w:type="spellStart"/>
      <w:r w:rsidR="003C2E58" w:rsidRPr="00111EAD">
        <w:rPr>
          <w:sz w:val="22"/>
        </w:rPr>
        <w:t>scf</w:t>
      </w:r>
      <w:proofErr w:type="spellEnd"/>
      <w:r w:rsidR="003C2E58" w:rsidRPr="00111EAD">
        <w:rPr>
          <w:sz w:val="22"/>
        </w:rPr>
        <w:t xml:space="preserve">/month) </w:t>
      </w:r>
      <w:r w:rsidRPr="00111EAD">
        <w:rPr>
          <w:b/>
          <w:i/>
          <w:sz w:val="22"/>
        </w:rPr>
        <w:t>minus</w:t>
      </w:r>
    </w:p>
    <w:p w:rsidR="00111EAD" w:rsidRDefault="00111EAD" w:rsidP="00111EAD">
      <w:pPr>
        <w:autoSpaceDE w:val="0"/>
        <w:autoSpaceDN w:val="0"/>
        <w:adjustRightInd w:val="0"/>
        <w:spacing w:after="60"/>
        <w:ind w:left="720"/>
        <w:rPr>
          <w:sz w:val="22"/>
        </w:rPr>
      </w:pPr>
      <w:r w:rsidRPr="00111EAD">
        <w:rPr>
          <w:sz w:val="22"/>
        </w:rPr>
        <w:t>Total monthly NG evacuation for safety reasons (</w:t>
      </w:r>
      <w:proofErr w:type="spellStart"/>
      <w:r w:rsidRPr="00111EAD">
        <w:rPr>
          <w:sz w:val="22"/>
        </w:rPr>
        <w:t>scf</w:t>
      </w:r>
      <w:proofErr w:type="spellEnd"/>
      <w:r w:rsidRPr="00111EAD">
        <w:rPr>
          <w:sz w:val="22"/>
        </w:rPr>
        <w:t>/month)]</w:t>
      </w:r>
    </w:p>
    <w:p w:rsidR="00542E9D" w:rsidRPr="00542E9D" w:rsidRDefault="00542E9D" w:rsidP="00111EAD">
      <w:pPr>
        <w:autoSpaceDE w:val="0"/>
        <w:autoSpaceDN w:val="0"/>
        <w:adjustRightInd w:val="0"/>
        <w:spacing w:after="60"/>
        <w:ind w:left="720"/>
        <w:rPr>
          <w:i/>
          <w:sz w:val="22"/>
        </w:rPr>
      </w:pPr>
      <w:r w:rsidRPr="00542E9D">
        <w:rPr>
          <w:i/>
          <w:sz w:val="22"/>
        </w:rPr>
        <w:t>{Permitting Note:  The methane percentage may be determined based on an annual test of the pipeline natural gas in accordance with the Acid Rain Appendix D requirements.}</w:t>
      </w:r>
    </w:p>
    <w:p w:rsidR="000072B0" w:rsidRPr="00111EAD" w:rsidRDefault="000072B0" w:rsidP="003B60A2">
      <w:pPr>
        <w:numPr>
          <w:ilvl w:val="0"/>
          <w:numId w:val="12"/>
        </w:numPr>
        <w:autoSpaceDE w:val="0"/>
        <w:autoSpaceDN w:val="0"/>
        <w:adjustRightInd w:val="0"/>
        <w:spacing w:after="60"/>
        <w:rPr>
          <w:sz w:val="22"/>
        </w:rPr>
      </w:pPr>
      <w:r w:rsidRPr="00111EAD">
        <w:rPr>
          <w:sz w:val="22"/>
        </w:rPr>
        <w:t>Each calendar month, the permittee shall record the foll</w:t>
      </w:r>
      <w:r w:rsidR="00111EAD" w:rsidRPr="00111EAD">
        <w:rPr>
          <w:sz w:val="22"/>
        </w:rPr>
        <w:t>owing for the previous month:  monthly average methane content of the natural gas (%), t</w:t>
      </w:r>
      <w:r w:rsidRPr="00111EAD">
        <w:rPr>
          <w:sz w:val="22"/>
        </w:rPr>
        <w:t xml:space="preserve">he total gas flow into the </w:t>
      </w:r>
      <w:r w:rsidR="00CC148F" w:rsidRPr="00111EAD">
        <w:rPr>
          <w:sz w:val="22"/>
        </w:rPr>
        <w:t>SHCCF</w:t>
      </w:r>
      <w:r w:rsidRPr="00111EAD">
        <w:rPr>
          <w:sz w:val="22"/>
        </w:rPr>
        <w:t xml:space="preserve">, </w:t>
      </w:r>
      <w:r w:rsidRPr="00111EAD">
        <w:rPr>
          <w:sz w:val="22"/>
          <w:szCs w:val="22"/>
        </w:rPr>
        <w:t xml:space="preserve">gas consumed by the </w:t>
      </w:r>
      <w:r w:rsidR="00CC148F" w:rsidRPr="00111EAD">
        <w:rPr>
          <w:sz w:val="22"/>
          <w:szCs w:val="22"/>
        </w:rPr>
        <w:t>SHCCF</w:t>
      </w:r>
      <w:r w:rsidRPr="00111EAD">
        <w:rPr>
          <w:sz w:val="22"/>
          <w:szCs w:val="22"/>
        </w:rPr>
        <w:t xml:space="preserve"> </w:t>
      </w:r>
      <w:r w:rsidRPr="00111EAD">
        <w:rPr>
          <w:sz w:val="22"/>
          <w:szCs w:val="22"/>
        </w:rPr>
        <w:lastRenderedPageBreak/>
        <w:t xml:space="preserve">combustion turbine (EU No. </w:t>
      </w:r>
      <w:r w:rsidR="00C1612A">
        <w:rPr>
          <w:sz w:val="22"/>
          <w:szCs w:val="22"/>
        </w:rPr>
        <w:t>001</w:t>
      </w:r>
      <w:r w:rsidRPr="00111EAD">
        <w:rPr>
          <w:sz w:val="22"/>
          <w:szCs w:val="22"/>
        </w:rPr>
        <w:t xml:space="preserve">), gas consumed by the </w:t>
      </w:r>
      <w:r w:rsidR="00CC148F" w:rsidRPr="00111EAD">
        <w:rPr>
          <w:sz w:val="22"/>
          <w:szCs w:val="22"/>
        </w:rPr>
        <w:t>SHCCF</w:t>
      </w:r>
      <w:r w:rsidRPr="00111EAD">
        <w:rPr>
          <w:sz w:val="22"/>
          <w:szCs w:val="22"/>
        </w:rPr>
        <w:t xml:space="preserve"> auxiliary boiler (EU No. </w:t>
      </w:r>
      <w:r w:rsidR="001D1F12">
        <w:rPr>
          <w:sz w:val="22"/>
          <w:szCs w:val="22"/>
        </w:rPr>
        <w:t>002</w:t>
      </w:r>
      <w:r w:rsidRPr="00111EAD">
        <w:rPr>
          <w:sz w:val="22"/>
          <w:szCs w:val="22"/>
        </w:rPr>
        <w:t xml:space="preserve">), </w:t>
      </w:r>
      <w:r w:rsidR="00111EAD" w:rsidRPr="00111EAD">
        <w:rPr>
          <w:sz w:val="22"/>
          <w:szCs w:val="22"/>
        </w:rPr>
        <w:t>gas consumed by the SHCCF duct burner, estimated gas evacuated for safety reasons based on engineering</w:t>
      </w:r>
      <w:r w:rsidR="00111EAD">
        <w:rPr>
          <w:sz w:val="22"/>
          <w:szCs w:val="22"/>
        </w:rPr>
        <w:t xml:space="preserve"> </w:t>
      </w:r>
      <w:r w:rsidR="00111EAD" w:rsidRPr="00111EAD">
        <w:rPr>
          <w:sz w:val="22"/>
          <w:szCs w:val="22"/>
        </w:rPr>
        <w:t>calculations</w:t>
      </w:r>
      <w:r w:rsidRPr="00111EAD">
        <w:rPr>
          <w:sz w:val="22"/>
          <w:szCs w:val="22"/>
        </w:rPr>
        <w:t xml:space="preserve">, the calculated monthly methane difference, and the monthly methane difference as a percentage of gas flow into the </w:t>
      </w:r>
      <w:r w:rsidR="00CC148F" w:rsidRPr="00111EAD">
        <w:rPr>
          <w:sz w:val="22"/>
          <w:szCs w:val="22"/>
        </w:rPr>
        <w:t>SHCCF</w:t>
      </w:r>
      <w:r w:rsidRPr="00111EAD">
        <w:rPr>
          <w:sz w:val="22"/>
          <w:szCs w:val="22"/>
        </w:rPr>
        <w:t>.</w:t>
      </w:r>
    </w:p>
    <w:p w:rsidR="000072B0" w:rsidRPr="000072B0" w:rsidRDefault="00111EAD" w:rsidP="0017609E">
      <w:pPr>
        <w:numPr>
          <w:ilvl w:val="0"/>
          <w:numId w:val="12"/>
        </w:numPr>
        <w:spacing w:after="60"/>
        <w:rPr>
          <w:sz w:val="22"/>
          <w:szCs w:val="22"/>
        </w:rPr>
      </w:pPr>
      <w:r>
        <w:rPr>
          <w:sz w:val="22"/>
          <w:szCs w:val="22"/>
        </w:rPr>
        <w:t>Calculations</w:t>
      </w:r>
      <w:r w:rsidR="000072B0" w:rsidRPr="000072B0">
        <w:rPr>
          <w:sz w:val="22"/>
          <w:szCs w:val="22"/>
        </w:rPr>
        <w:t xml:space="preserve"> and supporting natural gas flow rates data shall be recorded in written or electronic form.  The permittee shall make these records available upon request within three business days.</w:t>
      </w:r>
    </w:p>
    <w:p w:rsidR="000072B0" w:rsidRPr="000072B0" w:rsidRDefault="000072B0" w:rsidP="00E71496">
      <w:pPr>
        <w:numPr>
          <w:ilvl w:val="0"/>
          <w:numId w:val="12"/>
        </w:numPr>
        <w:spacing w:after="60"/>
        <w:rPr>
          <w:sz w:val="22"/>
          <w:szCs w:val="22"/>
        </w:rPr>
      </w:pPr>
      <w:r w:rsidRPr="000072B0">
        <w:rPr>
          <w:sz w:val="22"/>
          <w:szCs w:val="22"/>
        </w:rPr>
        <w:t xml:space="preserve">As part of the facility’s Annual Operating Report, the permittee shall report the total amount of </w:t>
      </w:r>
      <w:r w:rsidR="00E71496" w:rsidRPr="00E71496">
        <w:rPr>
          <w:sz w:val="22"/>
          <w:szCs w:val="22"/>
        </w:rPr>
        <w:t>calculated monthly</w:t>
      </w:r>
      <w:r w:rsidR="00E71496">
        <w:rPr>
          <w:sz w:val="22"/>
          <w:szCs w:val="22"/>
        </w:rPr>
        <w:t xml:space="preserve"> </w:t>
      </w:r>
      <w:r w:rsidRPr="000072B0">
        <w:rPr>
          <w:sz w:val="22"/>
          <w:szCs w:val="22"/>
        </w:rPr>
        <w:t>methane difference for the calendar year, and the</w:t>
      </w:r>
      <w:r w:rsidR="00E71496">
        <w:rPr>
          <w:sz w:val="22"/>
          <w:szCs w:val="22"/>
        </w:rPr>
        <w:t xml:space="preserve"> </w:t>
      </w:r>
      <w:r w:rsidR="00E71496" w:rsidRPr="00E71496">
        <w:rPr>
          <w:sz w:val="22"/>
          <w:szCs w:val="22"/>
        </w:rPr>
        <w:t>calculated monthly</w:t>
      </w:r>
      <w:r w:rsidRPr="000072B0">
        <w:rPr>
          <w:sz w:val="22"/>
          <w:szCs w:val="22"/>
        </w:rPr>
        <w:t xml:space="preserve"> methane difference </w:t>
      </w:r>
      <w:r w:rsidR="00E71496">
        <w:rPr>
          <w:sz w:val="22"/>
          <w:szCs w:val="22"/>
        </w:rPr>
        <w:t xml:space="preserve">as s </w:t>
      </w:r>
      <w:r w:rsidRPr="000072B0">
        <w:rPr>
          <w:sz w:val="22"/>
          <w:szCs w:val="22"/>
        </w:rPr>
        <w:t xml:space="preserve">percentage </w:t>
      </w:r>
      <w:r w:rsidR="00E71496" w:rsidRPr="00E71496">
        <w:rPr>
          <w:sz w:val="22"/>
          <w:szCs w:val="22"/>
        </w:rPr>
        <w:t>of gas flow into the SHCCF</w:t>
      </w:r>
      <w:r w:rsidR="00E71496">
        <w:rPr>
          <w:sz w:val="22"/>
          <w:szCs w:val="22"/>
        </w:rPr>
        <w:t xml:space="preserve"> </w:t>
      </w:r>
      <w:r w:rsidRPr="000072B0">
        <w:rPr>
          <w:sz w:val="22"/>
          <w:szCs w:val="22"/>
        </w:rPr>
        <w:t>for each month in the calendar year.</w:t>
      </w:r>
    </w:p>
    <w:p w:rsidR="000072B0" w:rsidRPr="000072B0" w:rsidRDefault="000072B0" w:rsidP="00E71496">
      <w:pPr>
        <w:spacing w:after="60"/>
        <w:ind w:left="360"/>
        <w:rPr>
          <w:i/>
          <w:sz w:val="22"/>
        </w:rPr>
      </w:pPr>
      <w:r w:rsidRPr="000072B0">
        <w:rPr>
          <w:i/>
          <w:sz w:val="22"/>
        </w:rPr>
        <w:t xml:space="preserve">{Permitting Note:  </w:t>
      </w:r>
      <w:r w:rsidRPr="000072B0">
        <w:rPr>
          <w:b/>
          <w:i/>
          <w:sz w:val="22"/>
        </w:rPr>
        <w:t xml:space="preserve">Section 2, Specific Condition </w:t>
      </w:r>
      <w:r w:rsidRPr="000072B0">
        <w:rPr>
          <w:b/>
          <w:i/>
          <w:sz w:val="22"/>
        </w:rPr>
        <w:fldChar w:fldCharType="begin"/>
      </w:r>
      <w:r w:rsidRPr="000072B0">
        <w:rPr>
          <w:b/>
          <w:i/>
          <w:sz w:val="22"/>
        </w:rPr>
        <w:instrText xml:space="preserve"> REF _Ref499640187 \r \h </w:instrText>
      </w:r>
      <w:r w:rsidRPr="000072B0">
        <w:rPr>
          <w:b/>
          <w:i/>
          <w:sz w:val="22"/>
        </w:rPr>
      </w:r>
      <w:r w:rsidRPr="000072B0">
        <w:rPr>
          <w:b/>
          <w:i/>
          <w:sz w:val="22"/>
        </w:rPr>
        <w:fldChar w:fldCharType="separate"/>
      </w:r>
      <w:r w:rsidR="006D04C9">
        <w:rPr>
          <w:b/>
          <w:i/>
          <w:sz w:val="22"/>
        </w:rPr>
        <w:t>11</w:t>
      </w:r>
      <w:r w:rsidRPr="000072B0">
        <w:rPr>
          <w:b/>
          <w:i/>
          <w:sz w:val="22"/>
        </w:rPr>
        <w:fldChar w:fldCharType="end"/>
      </w:r>
      <w:r w:rsidRPr="000072B0">
        <w:rPr>
          <w:i/>
          <w:sz w:val="22"/>
        </w:rPr>
        <w:t xml:space="preserve"> is a BACT work practice standard and is not a numerical emission limit.  This condition only requires recording natural gas flow rates using standard practices and/or standard plant equipment and calculating a methane difference from the </w:t>
      </w:r>
      <w:r w:rsidR="00CC148F" w:rsidRPr="00CC148F">
        <w:rPr>
          <w:i/>
          <w:sz w:val="22"/>
        </w:rPr>
        <w:t>SHCCF</w:t>
      </w:r>
      <w:r w:rsidRPr="000072B0">
        <w:rPr>
          <w:i/>
          <w:sz w:val="22"/>
        </w:rPr>
        <w:t>.</w:t>
      </w:r>
      <w:r w:rsidR="00E71496" w:rsidRPr="00E71496">
        <w:t xml:space="preserve"> </w:t>
      </w:r>
      <w:r w:rsidR="003C6402">
        <w:t xml:space="preserve"> </w:t>
      </w:r>
      <w:r w:rsidR="00E71496" w:rsidRPr="00E71496">
        <w:rPr>
          <w:i/>
          <w:sz w:val="22"/>
        </w:rPr>
        <w:t>The natural gas flow meter</w:t>
      </w:r>
      <w:r w:rsidR="00E71496">
        <w:rPr>
          <w:i/>
          <w:sz w:val="22"/>
        </w:rPr>
        <w:t xml:space="preserve"> </w:t>
      </w:r>
      <w:r w:rsidR="00E71496" w:rsidRPr="00E71496">
        <w:rPr>
          <w:i/>
          <w:sz w:val="22"/>
        </w:rPr>
        <w:t>used for the incoming gas at the SHCCF metering station is expected to be a calibrated ultrasonic meter that will</w:t>
      </w:r>
      <w:r w:rsidR="00E71496">
        <w:rPr>
          <w:i/>
          <w:sz w:val="22"/>
        </w:rPr>
        <w:t xml:space="preserve"> </w:t>
      </w:r>
      <w:r w:rsidR="00E71496" w:rsidRPr="00E71496">
        <w:rPr>
          <w:i/>
          <w:sz w:val="22"/>
        </w:rPr>
        <w:t xml:space="preserve">likely have a manufacturer’s accuracy rating of approximately plus or minus 0.1%. </w:t>
      </w:r>
      <w:r w:rsidR="003C6402">
        <w:rPr>
          <w:i/>
          <w:sz w:val="22"/>
        </w:rPr>
        <w:t xml:space="preserve"> </w:t>
      </w:r>
      <w:r w:rsidR="00E71496" w:rsidRPr="00E71496">
        <w:rPr>
          <w:i/>
          <w:sz w:val="22"/>
        </w:rPr>
        <w:t>The gas flow meters used for</w:t>
      </w:r>
      <w:r w:rsidR="00E71496">
        <w:rPr>
          <w:i/>
          <w:sz w:val="22"/>
        </w:rPr>
        <w:t xml:space="preserve"> </w:t>
      </w:r>
      <w:r w:rsidR="00E71496" w:rsidRPr="00E71496">
        <w:rPr>
          <w:i/>
          <w:sz w:val="22"/>
        </w:rPr>
        <w:t>the CTG, duct burner, and auxiliary boiler may have slightly greater tolerances in accuracy (approximately plus</w:t>
      </w:r>
      <w:r w:rsidR="00E71496">
        <w:rPr>
          <w:i/>
          <w:sz w:val="22"/>
        </w:rPr>
        <w:t xml:space="preserve"> </w:t>
      </w:r>
      <w:r w:rsidR="00E71496" w:rsidRPr="00E71496">
        <w:rPr>
          <w:i/>
          <w:sz w:val="22"/>
        </w:rPr>
        <w:t xml:space="preserve">or minus 0.35 percent). </w:t>
      </w:r>
      <w:r w:rsidR="00D60199">
        <w:rPr>
          <w:i/>
          <w:sz w:val="22"/>
        </w:rPr>
        <w:t xml:space="preserve"> </w:t>
      </w:r>
      <w:r w:rsidR="00E71496" w:rsidRPr="00E71496">
        <w:rPr>
          <w:i/>
          <w:sz w:val="22"/>
        </w:rPr>
        <w:t>Changes in monthly and annual methane calculations and percentages of gas flow rates</w:t>
      </w:r>
      <w:r w:rsidR="00E71496">
        <w:rPr>
          <w:i/>
          <w:sz w:val="22"/>
        </w:rPr>
        <w:t xml:space="preserve"> </w:t>
      </w:r>
      <w:r w:rsidR="00E71496" w:rsidRPr="00E71496">
        <w:rPr>
          <w:i/>
          <w:sz w:val="22"/>
        </w:rPr>
        <w:t>may be attributable to the accuracy of the gas flow measurement devices or the estimated quantities of gas</w:t>
      </w:r>
      <w:r w:rsidR="00E71496">
        <w:rPr>
          <w:i/>
          <w:sz w:val="22"/>
        </w:rPr>
        <w:t xml:space="preserve"> </w:t>
      </w:r>
      <w:r w:rsidR="00E71496" w:rsidRPr="00E71496">
        <w:rPr>
          <w:i/>
          <w:sz w:val="22"/>
        </w:rPr>
        <w:t>evacuated for safety purposes, which is not directly measured</w:t>
      </w:r>
      <w:r w:rsidR="00E71496">
        <w:rPr>
          <w:i/>
          <w:sz w:val="22"/>
        </w:rPr>
        <w:t>.</w:t>
      </w:r>
      <w:r w:rsidRPr="000072B0">
        <w:rPr>
          <w:i/>
          <w:sz w:val="22"/>
        </w:rPr>
        <w:t>}</w:t>
      </w:r>
    </w:p>
    <w:p w:rsidR="00BA14C9" w:rsidRDefault="000072B0" w:rsidP="000072B0">
      <w:pPr>
        <w:pStyle w:val="BodyText3"/>
        <w:widowControl w:val="0"/>
        <w:spacing w:after="0"/>
        <w:ind w:left="360"/>
        <w:jc w:val="left"/>
      </w:pPr>
      <w:r w:rsidRPr="000072B0">
        <w:rPr>
          <w:szCs w:val="22"/>
        </w:rPr>
        <w:t>[Rules 62-4.130 and 62-212.400(BACT), F.A.C.</w:t>
      </w:r>
      <w:r w:rsidR="00E34E6A">
        <w:rPr>
          <w:szCs w:val="22"/>
        </w:rPr>
        <w:t>]</w:t>
      </w:r>
    </w:p>
    <w:p w:rsidR="004C4F0F" w:rsidRDefault="004C4F0F">
      <w:pPr>
        <w:ind w:firstLine="90"/>
        <w:jc w:val="both"/>
        <w:rPr>
          <w:caps/>
          <w:sz w:val="22"/>
          <w:u w:val="single"/>
        </w:rPr>
        <w:sectPr w:rsidR="004C4F0F" w:rsidSect="005E6F35">
          <w:headerReference w:type="even" r:id="rId29"/>
          <w:headerReference w:type="default" r:id="rId30"/>
          <w:headerReference w:type="first" r:id="rId31"/>
          <w:pgSz w:w="12240" w:h="15840" w:code="1"/>
          <w:pgMar w:top="720" w:right="1080" w:bottom="720" w:left="1080" w:header="630" w:footer="720" w:gutter="0"/>
          <w:paperSrc w:first="15" w:other="15"/>
          <w:cols w:space="720"/>
        </w:sectPr>
      </w:pPr>
    </w:p>
    <w:p w:rsidR="00604CD7" w:rsidRDefault="00604CD7" w:rsidP="00604CD7">
      <w:pPr>
        <w:pStyle w:val="BodyText3"/>
        <w:numPr>
          <w:ilvl w:val="12"/>
          <w:numId w:val="0"/>
        </w:numPr>
        <w:jc w:val="left"/>
        <w:rPr>
          <w:szCs w:val="22"/>
        </w:rPr>
      </w:pPr>
      <w:r w:rsidRPr="00877418">
        <w:rPr>
          <w:szCs w:val="22"/>
        </w:rPr>
        <w:lastRenderedPageBreak/>
        <w:t xml:space="preserve">This section of the permit addresses the following </w:t>
      </w:r>
      <w:r w:rsidRPr="00500E3B">
        <w:rPr>
          <w:szCs w:val="22"/>
        </w:rPr>
        <w:t>emissions unit</w:t>
      </w:r>
      <w:r w:rsidRPr="00877418">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604CD7" w:rsidRPr="00877418" w:rsidTr="00902C16">
        <w:tc>
          <w:tcPr>
            <w:tcW w:w="794" w:type="dxa"/>
            <w:tcBorders>
              <w:top w:val="single" w:sz="12" w:space="0" w:color="auto"/>
              <w:bottom w:val="single" w:sz="12" w:space="0" w:color="auto"/>
              <w:right w:val="single" w:sz="12" w:space="0" w:color="auto"/>
            </w:tcBorders>
            <w:shd w:val="clear" w:color="auto" w:fill="B8CCE4"/>
          </w:tcPr>
          <w:p w:rsidR="00604CD7" w:rsidRPr="00652D24" w:rsidRDefault="00F44DA2" w:rsidP="00583B2E">
            <w:pPr>
              <w:jc w:val="center"/>
              <w:rPr>
                <w:b/>
              </w:rPr>
            </w:pPr>
            <w:r>
              <w:rPr>
                <w:b/>
              </w:rPr>
              <w:t>EU</w:t>
            </w:r>
            <w:r w:rsidR="00604CD7" w:rsidRPr="00652D24">
              <w:rPr>
                <w:b/>
              </w:rPr>
              <w:t xml:space="preserve"> No.</w:t>
            </w:r>
          </w:p>
        </w:tc>
        <w:tc>
          <w:tcPr>
            <w:tcW w:w="9360" w:type="dxa"/>
            <w:tcBorders>
              <w:top w:val="single" w:sz="12" w:space="0" w:color="auto"/>
              <w:left w:val="single" w:sz="12" w:space="0" w:color="auto"/>
              <w:bottom w:val="single" w:sz="12" w:space="0" w:color="auto"/>
            </w:tcBorders>
            <w:shd w:val="clear" w:color="auto" w:fill="B8CCE4"/>
          </w:tcPr>
          <w:p w:rsidR="00604CD7" w:rsidRPr="00652D24" w:rsidRDefault="00604CD7" w:rsidP="00583B2E">
            <w:r w:rsidRPr="00652D24">
              <w:rPr>
                <w:b/>
              </w:rPr>
              <w:t>Emission Unit Description</w:t>
            </w:r>
          </w:p>
        </w:tc>
      </w:tr>
      <w:tr w:rsidR="002F793D" w:rsidRPr="00877418" w:rsidTr="00B24BE1">
        <w:tc>
          <w:tcPr>
            <w:tcW w:w="794" w:type="dxa"/>
            <w:tcBorders>
              <w:bottom w:val="single" w:sz="12" w:space="0" w:color="auto"/>
              <w:right w:val="single" w:sz="12" w:space="0" w:color="auto"/>
            </w:tcBorders>
          </w:tcPr>
          <w:p w:rsidR="002F793D" w:rsidRPr="00866F34" w:rsidRDefault="00C1612A" w:rsidP="002F793D">
            <w:pPr>
              <w:widowControl w:val="0"/>
              <w:jc w:val="center"/>
              <w:rPr>
                <w:b/>
              </w:rPr>
            </w:pPr>
            <w:r>
              <w:rPr>
                <w:b/>
                <w:sz w:val="22"/>
                <w:szCs w:val="22"/>
              </w:rPr>
              <w:t>001</w:t>
            </w:r>
          </w:p>
        </w:tc>
        <w:tc>
          <w:tcPr>
            <w:tcW w:w="9360" w:type="dxa"/>
            <w:tcBorders>
              <w:left w:val="single" w:sz="12" w:space="0" w:color="auto"/>
              <w:bottom w:val="single" w:sz="12" w:space="0" w:color="auto"/>
            </w:tcBorders>
          </w:tcPr>
          <w:p w:rsidR="002F793D" w:rsidRPr="007170A8" w:rsidRDefault="00CE3AEF" w:rsidP="002F793D">
            <w:pPr>
              <w:widowControl w:val="0"/>
            </w:pPr>
            <w:r w:rsidRPr="00CE3AEF">
              <w:t xml:space="preserve">GE 7HA.02 Combustion Turbine and HRSG with </w:t>
            </w:r>
            <w:r w:rsidR="00267694">
              <w:t>D</w:t>
            </w:r>
            <w:r w:rsidRPr="00CE3AEF">
              <w:t xml:space="preserve">uct </w:t>
            </w:r>
            <w:r w:rsidR="00267694">
              <w:t>F</w:t>
            </w:r>
            <w:r w:rsidRPr="00CE3AEF">
              <w:t>iring</w:t>
            </w:r>
          </w:p>
        </w:tc>
      </w:tr>
    </w:tbl>
    <w:p w:rsidR="007572A8" w:rsidRPr="007572A8" w:rsidRDefault="007572A8" w:rsidP="00826149">
      <w:pPr>
        <w:spacing w:before="120" w:after="120"/>
        <w:rPr>
          <w:sz w:val="22"/>
          <w:szCs w:val="22"/>
        </w:rPr>
      </w:pPr>
      <w:r>
        <w:rPr>
          <w:sz w:val="22"/>
          <w:szCs w:val="22"/>
        </w:rPr>
        <w:t xml:space="preserve">Emissions Unit </w:t>
      </w:r>
      <w:r w:rsidR="00C1612A">
        <w:rPr>
          <w:sz w:val="22"/>
          <w:szCs w:val="22"/>
        </w:rPr>
        <w:t>001</w:t>
      </w:r>
      <w:r>
        <w:rPr>
          <w:sz w:val="22"/>
          <w:szCs w:val="22"/>
        </w:rPr>
        <w:t xml:space="preserve"> consists of </w:t>
      </w:r>
      <w:r w:rsidRPr="007572A8">
        <w:rPr>
          <w:sz w:val="22"/>
          <w:szCs w:val="22"/>
        </w:rPr>
        <w:t>one nominal 385 MW GE 7HA.02</w:t>
      </w:r>
      <w:r>
        <w:rPr>
          <w:sz w:val="22"/>
          <w:szCs w:val="22"/>
        </w:rPr>
        <w:t xml:space="preserve"> </w:t>
      </w:r>
      <w:r w:rsidRPr="007572A8">
        <w:rPr>
          <w:sz w:val="22"/>
          <w:szCs w:val="22"/>
        </w:rPr>
        <w:t>combustion turbine generator (CTG), one heat recovery steam generator (HRSG) with duct firing</w:t>
      </w:r>
      <w:r>
        <w:rPr>
          <w:sz w:val="22"/>
          <w:szCs w:val="22"/>
        </w:rPr>
        <w:t xml:space="preserve"> </w:t>
      </w:r>
      <w:r w:rsidRPr="007572A8">
        <w:rPr>
          <w:sz w:val="22"/>
          <w:szCs w:val="22"/>
        </w:rPr>
        <w:t>[approximately 2</w:t>
      </w:r>
      <w:r w:rsidR="008164A8">
        <w:rPr>
          <w:sz w:val="22"/>
          <w:szCs w:val="22"/>
        </w:rPr>
        <w:t>1</w:t>
      </w:r>
      <w:r w:rsidRPr="007572A8">
        <w:rPr>
          <w:sz w:val="22"/>
          <w:szCs w:val="22"/>
        </w:rPr>
        <w:t>0 million British thermal units per hour (MMBtu/</w:t>
      </w:r>
      <w:proofErr w:type="spellStart"/>
      <w:r w:rsidRPr="007572A8">
        <w:rPr>
          <w:sz w:val="22"/>
          <w:szCs w:val="22"/>
        </w:rPr>
        <w:t>hr</w:t>
      </w:r>
      <w:proofErr w:type="spellEnd"/>
      <w:r w:rsidRPr="007572A8">
        <w:rPr>
          <w:sz w:val="22"/>
          <w:szCs w:val="22"/>
        </w:rPr>
        <w:t>)], and one nominal 210 MW steam</w:t>
      </w:r>
      <w:r>
        <w:rPr>
          <w:sz w:val="22"/>
          <w:szCs w:val="22"/>
        </w:rPr>
        <w:t xml:space="preserve"> </w:t>
      </w:r>
      <w:r w:rsidR="00BD0831">
        <w:rPr>
          <w:sz w:val="22"/>
          <w:szCs w:val="22"/>
        </w:rPr>
        <w:t>turbine generator (STG).</w:t>
      </w:r>
      <w:r w:rsidR="00826149">
        <w:rPr>
          <w:sz w:val="22"/>
          <w:szCs w:val="22"/>
        </w:rPr>
        <w:t xml:space="preserve">  </w:t>
      </w:r>
      <w:r w:rsidR="00826149" w:rsidRPr="00826149">
        <w:rPr>
          <w:sz w:val="22"/>
          <w:szCs w:val="22"/>
        </w:rPr>
        <w:t>Evaporative cooling is employed at ambient temperatures</w:t>
      </w:r>
      <w:r w:rsidR="00826149">
        <w:rPr>
          <w:sz w:val="22"/>
          <w:szCs w:val="22"/>
        </w:rPr>
        <w:t xml:space="preserve"> </w:t>
      </w:r>
      <w:r w:rsidR="00826149" w:rsidRPr="00826149">
        <w:rPr>
          <w:sz w:val="22"/>
          <w:szCs w:val="22"/>
        </w:rPr>
        <w:t>of 59</w:t>
      </w:r>
      <w:r w:rsidR="00826149">
        <w:rPr>
          <w:sz w:val="22"/>
          <w:szCs w:val="22"/>
        </w:rPr>
        <w:t>°</w:t>
      </w:r>
      <w:r w:rsidR="008164A8">
        <w:rPr>
          <w:sz w:val="22"/>
          <w:szCs w:val="22"/>
        </w:rPr>
        <w:t>or higher</w:t>
      </w:r>
      <w:r w:rsidR="00826149" w:rsidRPr="00826149">
        <w:rPr>
          <w:sz w:val="22"/>
          <w:szCs w:val="22"/>
        </w:rPr>
        <w:t>.</w:t>
      </w:r>
    </w:p>
    <w:p w:rsidR="00B22771" w:rsidRPr="00B22771" w:rsidRDefault="001948DC" w:rsidP="008B5842">
      <w:pPr>
        <w:spacing w:before="120" w:after="120"/>
        <w:rPr>
          <w:sz w:val="22"/>
          <w:szCs w:val="22"/>
        </w:rPr>
      </w:pPr>
      <w:r>
        <w:rPr>
          <w:sz w:val="22"/>
          <w:szCs w:val="22"/>
        </w:rPr>
        <w:t xml:space="preserve">The </w:t>
      </w:r>
      <w:r w:rsidR="008B5842">
        <w:rPr>
          <w:sz w:val="22"/>
          <w:szCs w:val="22"/>
        </w:rPr>
        <w:t xml:space="preserve">HRSG will have a stack height of approximately </w:t>
      </w:r>
      <w:r w:rsidR="008B5842" w:rsidRPr="008B5842">
        <w:rPr>
          <w:sz w:val="22"/>
          <w:szCs w:val="22"/>
        </w:rPr>
        <w:t>149 feet and an inner stack diameter</w:t>
      </w:r>
      <w:r w:rsidR="008164A8">
        <w:rPr>
          <w:sz w:val="22"/>
          <w:szCs w:val="22"/>
        </w:rPr>
        <w:t xml:space="preserve"> of approximately</w:t>
      </w:r>
      <w:r w:rsidR="00212B64">
        <w:rPr>
          <w:sz w:val="22"/>
          <w:szCs w:val="22"/>
        </w:rPr>
        <w:t xml:space="preserve"> </w:t>
      </w:r>
      <w:r w:rsidR="008164A8">
        <w:rPr>
          <w:sz w:val="22"/>
          <w:szCs w:val="22"/>
        </w:rPr>
        <w:t xml:space="preserve">23.0 </w:t>
      </w:r>
      <w:r w:rsidR="00212B64">
        <w:rPr>
          <w:sz w:val="22"/>
          <w:szCs w:val="22"/>
        </w:rPr>
        <w:t xml:space="preserve">feet.  The </w:t>
      </w:r>
      <w:r w:rsidR="008B5842" w:rsidRPr="008B5842">
        <w:rPr>
          <w:sz w:val="22"/>
          <w:szCs w:val="22"/>
        </w:rPr>
        <w:t>stack will be equipped with a continuous emissions monitoring systems (CEMS) to mea</w:t>
      </w:r>
      <w:r w:rsidR="00B9087A">
        <w:rPr>
          <w:sz w:val="22"/>
          <w:szCs w:val="22"/>
        </w:rPr>
        <w:t xml:space="preserve">sure and record </w:t>
      </w:r>
      <w:r w:rsidR="008B5842" w:rsidRPr="008B5842">
        <w:rPr>
          <w:sz w:val="22"/>
          <w:szCs w:val="22"/>
        </w:rPr>
        <w:t>NO</w:t>
      </w:r>
      <w:r w:rsidR="00267694" w:rsidRPr="00267694">
        <w:rPr>
          <w:sz w:val="22"/>
          <w:szCs w:val="22"/>
          <w:vertAlign w:val="subscript"/>
        </w:rPr>
        <w:t>X</w:t>
      </w:r>
      <w:r w:rsidR="008B5842" w:rsidRPr="008B5842">
        <w:rPr>
          <w:sz w:val="22"/>
          <w:szCs w:val="22"/>
        </w:rPr>
        <w:t xml:space="preserve"> emissions as well as flue gas oxygen or carbon dioxide content</w:t>
      </w:r>
      <w:r w:rsidR="00212B64">
        <w:rPr>
          <w:sz w:val="22"/>
          <w:szCs w:val="22"/>
        </w:rPr>
        <w:t>.</w:t>
      </w:r>
      <w:r w:rsidR="00B23653">
        <w:rPr>
          <w:sz w:val="22"/>
          <w:szCs w:val="22"/>
        </w:rPr>
        <w:t xml:space="preserve">  </w:t>
      </w:r>
      <w:r w:rsidR="001A1A7A" w:rsidRPr="001A1A7A">
        <w:rPr>
          <w:sz w:val="22"/>
          <w:szCs w:val="22"/>
        </w:rPr>
        <w:t xml:space="preserve">The efficient combustion of natural gas </w:t>
      </w:r>
      <w:r w:rsidR="001A1A7A">
        <w:rPr>
          <w:sz w:val="22"/>
          <w:szCs w:val="22"/>
        </w:rPr>
        <w:t>will minimize</w:t>
      </w:r>
      <w:r w:rsidR="001A1A7A" w:rsidRPr="001A1A7A">
        <w:rPr>
          <w:sz w:val="22"/>
          <w:szCs w:val="22"/>
        </w:rPr>
        <w:t xml:space="preserve"> emissions of </w:t>
      </w:r>
      <w:r w:rsidR="00446867" w:rsidRPr="00446867">
        <w:rPr>
          <w:sz w:val="22"/>
          <w:szCs w:val="22"/>
        </w:rPr>
        <w:t>carbon monoxide (CO), particulate matter (PM/PM</w:t>
      </w:r>
      <w:r w:rsidR="00446867" w:rsidRPr="00446867">
        <w:rPr>
          <w:sz w:val="22"/>
          <w:szCs w:val="22"/>
          <w:vertAlign w:val="subscript"/>
        </w:rPr>
        <w:t>10</w:t>
      </w:r>
      <w:r w:rsidR="00B01434">
        <w:rPr>
          <w:sz w:val="22"/>
          <w:szCs w:val="22"/>
        </w:rPr>
        <w:t>/PM</w:t>
      </w:r>
      <w:r w:rsidR="00B01434" w:rsidRPr="00B01434">
        <w:rPr>
          <w:sz w:val="22"/>
          <w:szCs w:val="22"/>
          <w:vertAlign w:val="subscript"/>
        </w:rPr>
        <w:t>2.5</w:t>
      </w:r>
      <w:r w:rsidR="00446867" w:rsidRPr="00446867">
        <w:rPr>
          <w:sz w:val="22"/>
          <w:szCs w:val="22"/>
        </w:rPr>
        <w:t xml:space="preserve">), sulfuric acid mist (SAM), </w:t>
      </w:r>
      <w:r w:rsidR="00446867">
        <w:rPr>
          <w:sz w:val="22"/>
          <w:szCs w:val="22"/>
        </w:rPr>
        <w:t xml:space="preserve">and </w:t>
      </w:r>
      <w:r w:rsidR="00446867" w:rsidRPr="00446867">
        <w:rPr>
          <w:sz w:val="22"/>
          <w:szCs w:val="22"/>
        </w:rPr>
        <w:t>sulfur dioxide (SO</w:t>
      </w:r>
      <w:r w:rsidR="00446867" w:rsidRPr="00446867">
        <w:rPr>
          <w:sz w:val="22"/>
          <w:szCs w:val="22"/>
          <w:vertAlign w:val="subscript"/>
        </w:rPr>
        <w:t>2</w:t>
      </w:r>
      <w:r w:rsidR="00446867" w:rsidRPr="00446867">
        <w:rPr>
          <w:sz w:val="22"/>
          <w:szCs w:val="22"/>
        </w:rPr>
        <w:t>)</w:t>
      </w:r>
      <w:r w:rsidR="00B9087A">
        <w:rPr>
          <w:sz w:val="22"/>
          <w:szCs w:val="22"/>
        </w:rPr>
        <w:t xml:space="preserve">.  </w:t>
      </w:r>
      <w:r w:rsidR="001A1A7A" w:rsidRPr="001A1A7A">
        <w:rPr>
          <w:sz w:val="22"/>
          <w:szCs w:val="22"/>
        </w:rPr>
        <w:t xml:space="preserve">DLN combustion technology </w:t>
      </w:r>
      <w:r w:rsidR="001A1A7A">
        <w:rPr>
          <w:sz w:val="22"/>
          <w:szCs w:val="22"/>
        </w:rPr>
        <w:t>and a</w:t>
      </w:r>
      <w:r w:rsidR="001A1A7A" w:rsidRPr="001A1A7A">
        <w:rPr>
          <w:sz w:val="22"/>
          <w:szCs w:val="22"/>
        </w:rPr>
        <w:t xml:space="preserve"> selective catalytic reduction (SCR) system </w:t>
      </w:r>
      <w:r w:rsidR="001A1A7A">
        <w:rPr>
          <w:sz w:val="22"/>
          <w:szCs w:val="22"/>
        </w:rPr>
        <w:t>will be used to control emissions of NO</w:t>
      </w:r>
      <w:r w:rsidR="001A1A7A" w:rsidRPr="001A1A7A">
        <w:rPr>
          <w:sz w:val="22"/>
          <w:szCs w:val="22"/>
          <w:vertAlign w:val="subscript"/>
        </w:rPr>
        <w:t>X</w:t>
      </w:r>
      <w:r w:rsidR="001A1A7A">
        <w:rPr>
          <w:sz w:val="22"/>
          <w:szCs w:val="22"/>
        </w:rPr>
        <w:t>.</w:t>
      </w:r>
    </w:p>
    <w:p w:rsidR="0001029A" w:rsidRDefault="00446867" w:rsidP="00151D4A">
      <w:pPr>
        <w:spacing w:before="120" w:after="120"/>
        <w:rPr>
          <w:i/>
          <w:sz w:val="22"/>
          <w:szCs w:val="22"/>
        </w:rPr>
      </w:pPr>
      <w:r w:rsidRPr="00446867">
        <w:rPr>
          <w:i/>
          <w:sz w:val="22"/>
          <w:szCs w:val="22"/>
        </w:rPr>
        <w:t xml:space="preserve">{Permitting Note:  In accordance with Rule 62-212.400(PSD), F.A.C., the emission unit </w:t>
      </w:r>
      <w:r w:rsidR="005039A6" w:rsidRPr="00446867">
        <w:rPr>
          <w:i/>
          <w:sz w:val="22"/>
          <w:szCs w:val="22"/>
        </w:rPr>
        <w:t xml:space="preserve">above </w:t>
      </w:r>
      <w:r w:rsidRPr="00446867">
        <w:rPr>
          <w:i/>
          <w:sz w:val="22"/>
          <w:szCs w:val="22"/>
        </w:rPr>
        <w:t xml:space="preserve">is subject to Best Available Control Technology (BACT) determinations for the following pollutants:  </w:t>
      </w:r>
      <w:r w:rsidR="008164A8" w:rsidRPr="008164A8">
        <w:rPr>
          <w:i/>
          <w:sz w:val="22"/>
          <w:szCs w:val="22"/>
        </w:rPr>
        <w:t>greenhouse gas (GHG)</w:t>
      </w:r>
      <w:r w:rsidR="008164A8">
        <w:rPr>
          <w:i/>
          <w:sz w:val="22"/>
          <w:szCs w:val="22"/>
        </w:rPr>
        <w:t xml:space="preserve">, </w:t>
      </w:r>
      <w:r w:rsidRPr="00446867">
        <w:rPr>
          <w:i/>
          <w:sz w:val="22"/>
          <w:szCs w:val="22"/>
        </w:rPr>
        <w:t xml:space="preserve">CO, </w:t>
      </w:r>
      <w:r w:rsidR="005039A6">
        <w:rPr>
          <w:i/>
          <w:sz w:val="22"/>
          <w:szCs w:val="22"/>
        </w:rPr>
        <w:t>NO</w:t>
      </w:r>
      <w:r w:rsidR="005039A6" w:rsidRPr="005039A6">
        <w:rPr>
          <w:i/>
          <w:sz w:val="22"/>
          <w:szCs w:val="22"/>
          <w:vertAlign w:val="subscript"/>
        </w:rPr>
        <w:t>X</w:t>
      </w:r>
      <w:r w:rsidR="005039A6">
        <w:rPr>
          <w:i/>
          <w:sz w:val="22"/>
          <w:szCs w:val="22"/>
        </w:rPr>
        <w:t xml:space="preserve">, </w:t>
      </w:r>
      <w:r w:rsidRPr="00446867">
        <w:rPr>
          <w:i/>
          <w:sz w:val="22"/>
          <w:szCs w:val="22"/>
        </w:rPr>
        <w:t>PM/PM</w:t>
      </w:r>
      <w:r w:rsidRPr="00446867">
        <w:rPr>
          <w:i/>
          <w:sz w:val="22"/>
          <w:szCs w:val="22"/>
          <w:vertAlign w:val="subscript"/>
        </w:rPr>
        <w:t>10</w:t>
      </w:r>
      <w:r w:rsidR="004961A3">
        <w:rPr>
          <w:i/>
          <w:sz w:val="22"/>
          <w:szCs w:val="22"/>
        </w:rPr>
        <w:t>/PM</w:t>
      </w:r>
      <w:r w:rsidR="004961A3" w:rsidRPr="004961A3">
        <w:rPr>
          <w:i/>
          <w:sz w:val="22"/>
          <w:szCs w:val="22"/>
          <w:vertAlign w:val="subscript"/>
        </w:rPr>
        <w:t>2.5</w:t>
      </w:r>
      <w:r w:rsidRPr="00446867">
        <w:rPr>
          <w:i/>
          <w:sz w:val="22"/>
          <w:szCs w:val="22"/>
        </w:rPr>
        <w:t>, SAM, and SO</w:t>
      </w:r>
      <w:r w:rsidRPr="00446867">
        <w:rPr>
          <w:i/>
          <w:sz w:val="22"/>
          <w:szCs w:val="22"/>
          <w:vertAlign w:val="subscript"/>
        </w:rPr>
        <w:t>2</w:t>
      </w:r>
      <w:r w:rsidRPr="00446867">
        <w:rPr>
          <w:i/>
          <w:sz w:val="22"/>
          <w:szCs w:val="22"/>
        </w:rPr>
        <w:t>.  The final BACT determinations are presented in Appendix E of this permit.  T</w:t>
      </w:r>
      <w:r>
        <w:rPr>
          <w:i/>
          <w:sz w:val="22"/>
          <w:szCs w:val="22"/>
        </w:rPr>
        <w:t>his emissions unit is</w:t>
      </w:r>
      <w:r w:rsidRPr="00446867">
        <w:rPr>
          <w:i/>
          <w:sz w:val="22"/>
          <w:szCs w:val="22"/>
        </w:rPr>
        <w:t xml:space="preserve"> regulated under the federal Acid Rain Program; and, NSPS Subpart A (General Provisions) and Subpart KKKK (Standards of Performance for Stationary Combustion Turbines) of 40 CFR 60, adopted and incorporated by reference in Rule 62-204.800(8)(b)82., F.A.C.}</w:t>
      </w:r>
    </w:p>
    <w:p w:rsidR="006E71DC" w:rsidRPr="00845DA5" w:rsidRDefault="006E71DC" w:rsidP="003C6402">
      <w:pPr>
        <w:pStyle w:val="Caption"/>
        <w:spacing w:before="120"/>
        <w:rPr>
          <w:szCs w:val="22"/>
        </w:rPr>
      </w:pPr>
      <w:r w:rsidRPr="00845DA5">
        <w:rPr>
          <w:szCs w:val="22"/>
        </w:rPr>
        <w:t>Equipment</w:t>
      </w:r>
    </w:p>
    <w:p w:rsidR="006E71DC" w:rsidRPr="004A1667" w:rsidRDefault="004C3FEF" w:rsidP="00A87939">
      <w:pPr>
        <w:numPr>
          <w:ilvl w:val="0"/>
          <w:numId w:val="2"/>
        </w:numPr>
        <w:suppressAutoHyphens/>
        <w:spacing w:after="120"/>
        <w:rPr>
          <w:sz w:val="22"/>
          <w:szCs w:val="22"/>
        </w:rPr>
      </w:pPr>
      <w:r>
        <w:rPr>
          <w:sz w:val="22"/>
          <w:szCs w:val="22"/>
          <w:u w:val="single"/>
        </w:rPr>
        <w:t>CTG</w:t>
      </w:r>
      <w:r w:rsidR="005D6DD2" w:rsidRPr="005D6DD2">
        <w:rPr>
          <w:sz w:val="22"/>
          <w:szCs w:val="22"/>
          <w:u w:val="single"/>
        </w:rPr>
        <w:t xml:space="preserve"> &amp; HRSG</w:t>
      </w:r>
      <w:r w:rsidR="005D6DD2" w:rsidRPr="005D6DD2">
        <w:rPr>
          <w:sz w:val="22"/>
          <w:szCs w:val="22"/>
        </w:rPr>
        <w:t xml:space="preserve">:  The permittee is authorized to install, tune, operate, and maintain </w:t>
      </w:r>
      <w:r w:rsidR="00107003">
        <w:rPr>
          <w:sz w:val="22"/>
          <w:szCs w:val="22"/>
        </w:rPr>
        <w:t>one</w:t>
      </w:r>
      <w:r w:rsidR="005D6DD2" w:rsidRPr="005D6DD2">
        <w:rPr>
          <w:sz w:val="22"/>
          <w:szCs w:val="22"/>
        </w:rPr>
        <w:t xml:space="preserve"> GE 7HA</w:t>
      </w:r>
      <w:r w:rsidR="00107003">
        <w:rPr>
          <w:sz w:val="22"/>
          <w:szCs w:val="22"/>
        </w:rPr>
        <w:t>.02</w:t>
      </w:r>
      <w:r w:rsidR="00D837FB">
        <w:rPr>
          <w:sz w:val="22"/>
          <w:szCs w:val="22"/>
        </w:rPr>
        <w:t xml:space="preserve"> CTG</w:t>
      </w:r>
      <w:r w:rsidR="005D6DD2" w:rsidRPr="005D6DD2">
        <w:rPr>
          <w:sz w:val="22"/>
          <w:szCs w:val="22"/>
        </w:rPr>
        <w:t xml:space="preserve"> with a nominal generating capacity of </w:t>
      </w:r>
      <w:r w:rsidR="00107003">
        <w:rPr>
          <w:sz w:val="22"/>
          <w:szCs w:val="22"/>
        </w:rPr>
        <w:t>385</w:t>
      </w:r>
      <w:r w:rsidR="005D6DD2" w:rsidRPr="005D6DD2">
        <w:rPr>
          <w:sz w:val="22"/>
          <w:szCs w:val="22"/>
        </w:rPr>
        <w:t xml:space="preserve"> MW with inlet air cooling (i.e. evaporative coolin</w:t>
      </w:r>
      <w:r w:rsidR="004A1667">
        <w:rPr>
          <w:sz w:val="22"/>
          <w:szCs w:val="22"/>
        </w:rPr>
        <w:t>g)</w:t>
      </w:r>
      <w:r w:rsidR="00A87939" w:rsidRPr="00A87939">
        <w:t xml:space="preserve"> </w:t>
      </w:r>
      <w:r w:rsidR="00A87939" w:rsidRPr="00A87939">
        <w:rPr>
          <w:sz w:val="22"/>
          <w:szCs w:val="22"/>
        </w:rPr>
        <w:t>and one steam turbine generator with a nominal generating capacity of 210 MW.</w:t>
      </w:r>
      <w:r w:rsidR="004A1667">
        <w:rPr>
          <w:sz w:val="22"/>
          <w:szCs w:val="22"/>
        </w:rPr>
        <w:t xml:space="preserve">  The</w:t>
      </w:r>
      <w:r>
        <w:rPr>
          <w:sz w:val="22"/>
          <w:szCs w:val="22"/>
        </w:rPr>
        <w:t xml:space="preserve"> CTG</w:t>
      </w:r>
      <w:r w:rsidR="005D6DD2" w:rsidRPr="005D6DD2">
        <w:rPr>
          <w:sz w:val="22"/>
          <w:szCs w:val="22"/>
        </w:rPr>
        <w:t xml:space="preserve"> will be designed for operation in combined-cycle mode</w:t>
      </w:r>
      <w:r w:rsidR="005D6DD2" w:rsidRPr="005D6DD2">
        <w:t xml:space="preserve"> </w:t>
      </w:r>
      <w:r w:rsidR="005D6DD2" w:rsidRPr="005D6DD2">
        <w:rPr>
          <w:sz w:val="22"/>
          <w:szCs w:val="22"/>
        </w:rPr>
        <w:t xml:space="preserve">with </w:t>
      </w:r>
      <w:r w:rsidR="004A1667">
        <w:rPr>
          <w:sz w:val="22"/>
          <w:szCs w:val="22"/>
        </w:rPr>
        <w:t>one</w:t>
      </w:r>
      <w:r w:rsidR="005D6DD2" w:rsidRPr="005D6DD2">
        <w:rPr>
          <w:sz w:val="22"/>
          <w:szCs w:val="22"/>
        </w:rPr>
        <w:t xml:space="preserve"> HRSG and one steam turbine generator.</w:t>
      </w:r>
      <w:r w:rsidR="004A1667" w:rsidRPr="004A1667">
        <w:t xml:space="preserve"> </w:t>
      </w:r>
      <w:r w:rsidR="004A1667">
        <w:t xml:space="preserve"> </w:t>
      </w:r>
      <w:r w:rsidR="004A1667">
        <w:rPr>
          <w:sz w:val="22"/>
          <w:szCs w:val="22"/>
        </w:rPr>
        <w:t>The HRSG</w:t>
      </w:r>
      <w:r w:rsidR="004A1667" w:rsidRPr="004A1667">
        <w:rPr>
          <w:sz w:val="22"/>
          <w:szCs w:val="22"/>
        </w:rPr>
        <w:t xml:space="preserve"> will have duct firing with heat input of approximately</w:t>
      </w:r>
      <w:r w:rsidR="004A1667">
        <w:rPr>
          <w:sz w:val="22"/>
          <w:szCs w:val="22"/>
        </w:rPr>
        <w:t xml:space="preserve"> </w:t>
      </w:r>
      <w:r w:rsidR="004A1667" w:rsidRPr="004A1667">
        <w:rPr>
          <w:sz w:val="22"/>
          <w:szCs w:val="22"/>
        </w:rPr>
        <w:t>210 MMB</w:t>
      </w:r>
      <w:r w:rsidR="00FD301D">
        <w:rPr>
          <w:sz w:val="22"/>
          <w:szCs w:val="22"/>
        </w:rPr>
        <w:t>tu</w:t>
      </w:r>
      <w:r w:rsidR="004A1667" w:rsidRPr="004A1667">
        <w:rPr>
          <w:sz w:val="22"/>
          <w:szCs w:val="22"/>
        </w:rPr>
        <w:t>/hr.</w:t>
      </w:r>
      <w:r w:rsidR="005D6DD2" w:rsidRPr="004A1667">
        <w:rPr>
          <w:sz w:val="22"/>
          <w:szCs w:val="22"/>
        </w:rPr>
        <w:t xml:space="preserve">  </w:t>
      </w:r>
      <w:r w:rsidR="004A1667">
        <w:rPr>
          <w:sz w:val="22"/>
          <w:szCs w:val="22"/>
        </w:rPr>
        <w:t>The</w:t>
      </w:r>
      <w:r>
        <w:rPr>
          <w:sz w:val="22"/>
          <w:szCs w:val="22"/>
        </w:rPr>
        <w:t xml:space="preserve"> CTG</w:t>
      </w:r>
      <w:r w:rsidR="005D6DD2" w:rsidRPr="004A1667">
        <w:rPr>
          <w:sz w:val="22"/>
          <w:szCs w:val="22"/>
        </w:rPr>
        <w:t xml:space="preserve"> may also operate in simple cycle mode without the steam turbine generator.  </w:t>
      </w:r>
      <w:r w:rsidR="004A1667">
        <w:rPr>
          <w:sz w:val="22"/>
          <w:szCs w:val="22"/>
        </w:rPr>
        <w:t>The</w:t>
      </w:r>
      <w:r w:rsidR="005D6DD2" w:rsidRPr="004A1667">
        <w:rPr>
          <w:sz w:val="22"/>
          <w:szCs w:val="22"/>
        </w:rPr>
        <w:t xml:space="preserve"> HRSG exhaust stack shall be approximately 149 feet tall and </w:t>
      </w:r>
      <w:r w:rsidR="00A87939">
        <w:rPr>
          <w:sz w:val="22"/>
          <w:szCs w:val="22"/>
        </w:rPr>
        <w:t>23.0</w:t>
      </w:r>
      <w:r w:rsidR="005D6DD2" w:rsidRPr="004A1667">
        <w:rPr>
          <w:sz w:val="22"/>
          <w:szCs w:val="22"/>
        </w:rPr>
        <w:t xml:space="preserve"> feet in diameter.  [Rule 62-4.070(3), F.A.C. and Application No. </w:t>
      </w:r>
      <w:r w:rsidR="00B519E0">
        <w:rPr>
          <w:iCs/>
          <w:sz w:val="22"/>
          <w:szCs w:val="22"/>
        </w:rPr>
        <w:t>1010524</w:t>
      </w:r>
      <w:r w:rsidR="005D6DD2" w:rsidRPr="004A1667">
        <w:rPr>
          <w:iCs/>
          <w:sz w:val="22"/>
          <w:szCs w:val="22"/>
        </w:rPr>
        <w:t>-</w:t>
      </w:r>
      <w:r w:rsidR="00B519E0">
        <w:rPr>
          <w:iCs/>
          <w:sz w:val="22"/>
          <w:szCs w:val="22"/>
        </w:rPr>
        <w:t>001</w:t>
      </w:r>
      <w:r w:rsidR="005D6DD2" w:rsidRPr="004A1667">
        <w:rPr>
          <w:iCs/>
          <w:sz w:val="22"/>
          <w:szCs w:val="22"/>
        </w:rPr>
        <w:t>-AC</w:t>
      </w:r>
      <w:r w:rsidR="005D6DD2" w:rsidRPr="004A1667">
        <w:rPr>
          <w:sz w:val="22"/>
          <w:szCs w:val="22"/>
        </w:rPr>
        <w:t>]</w:t>
      </w:r>
    </w:p>
    <w:p w:rsidR="00F1455E" w:rsidRDefault="00F1455E" w:rsidP="00F1455E">
      <w:pPr>
        <w:spacing w:after="120"/>
        <w:rPr>
          <w:b/>
          <w:caps/>
          <w:color w:val="000000"/>
          <w:sz w:val="22"/>
          <w:szCs w:val="22"/>
        </w:rPr>
      </w:pPr>
      <w:r>
        <w:rPr>
          <w:b/>
          <w:caps/>
          <w:color w:val="000000"/>
          <w:sz w:val="22"/>
          <w:szCs w:val="22"/>
        </w:rPr>
        <w:t>Control Technology</w:t>
      </w:r>
    </w:p>
    <w:p w:rsidR="00F1455E" w:rsidRDefault="00F1455E" w:rsidP="00F1455E">
      <w:pPr>
        <w:numPr>
          <w:ilvl w:val="0"/>
          <w:numId w:val="2"/>
        </w:numPr>
        <w:suppressAutoHyphens/>
        <w:spacing w:after="120"/>
        <w:rPr>
          <w:sz w:val="22"/>
          <w:szCs w:val="22"/>
        </w:rPr>
      </w:pPr>
      <w:r w:rsidRPr="00F1455E">
        <w:rPr>
          <w:sz w:val="22"/>
          <w:szCs w:val="22"/>
          <w:u w:val="single"/>
        </w:rPr>
        <w:t>Combustion</w:t>
      </w:r>
      <w:r>
        <w:rPr>
          <w:iCs/>
          <w:sz w:val="22"/>
          <w:szCs w:val="22"/>
          <w:u w:val="single"/>
        </w:rPr>
        <w:t xml:space="preserve"> Technology</w:t>
      </w:r>
      <w:r>
        <w:rPr>
          <w:sz w:val="22"/>
          <w:szCs w:val="22"/>
        </w:rPr>
        <w:t>:  The permittee shall install, op</w:t>
      </w:r>
      <w:r w:rsidR="00622AAF">
        <w:rPr>
          <w:sz w:val="22"/>
          <w:szCs w:val="22"/>
        </w:rPr>
        <w:t xml:space="preserve">erate and maintain the </w:t>
      </w:r>
      <w:r>
        <w:rPr>
          <w:sz w:val="22"/>
          <w:szCs w:val="22"/>
        </w:rPr>
        <w:t xml:space="preserve">DLN combustion system or its equivalent on </w:t>
      </w:r>
      <w:r w:rsidR="0017609E">
        <w:rPr>
          <w:sz w:val="22"/>
          <w:szCs w:val="22"/>
        </w:rPr>
        <w:t>the</w:t>
      </w:r>
      <w:r w:rsidR="004C3FEF">
        <w:rPr>
          <w:sz w:val="22"/>
          <w:szCs w:val="22"/>
        </w:rPr>
        <w:t xml:space="preserve"> CTG</w:t>
      </w:r>
      <w:r>
        <w:rPr>
          <w:sz w:val="22"/>
          <w:szCs w:val="22"/>
        </w:rPr>
        <w:t xml:space="preserve"> to control NO</w:t>
      </w:r>
      <w:r>
        <w:rPr>
          <w:sz w:val="22"/>
          <w:szCs w:val="22"/>
          <w:vertAlign w:val="subscript"/>
        </w:rPr>
        <w:t>X</w:t>
      </w:r>
      <w:r>
        <w:rPr>
          <w:sz w:val="22"/>
          <w:szCs w:val="22"/>
        </w:rPr>
        <w:t xml:space="preserve"> emissions.  Prior to the initial emissions performance tests required for the</w:t>
      </w:r>
      <w:r w:rsidR="004C3FEF">
        <w:rPr>
          <w:sz w:val="22"/>
          <w:szCs w:val="22"/>
        </w:rPr>
        <w:t xml:space="preserve"> CTG</w:t>
      </w:r>
      <w:r>
        <w:rPr>
          <w:sz w:val="22"/>
          <w:szCs w:val="22"/>
        </w:rPr>
        <w:t xml:space="preserve">, the DLN combustors or its equivalent and automated gas turbine control system </w:t>
      </w:r>
      <w:r>
        <w:rPr>
          <w:sz w:val="22"/>
        </w:rPr>
        <w:t>shall be tuned to achieve sufficiently low CO and NO</w:t>
      </w:r>
      <w:r>
        <w:rPr>
          <w:sz w:val="22"/>
          <w:vertAlign w:val="subscript"/>
        </w:rPr>
        <w:t>X</w:t>
      </w:r>
      <w:r>
        <w:rPr>
          <w:sz w:val="22"/>
        </w:rPr>
        <w:t xml:space="preserve"> values to meet the CO and NO</w:t>
      </w:r>
      <w:r>
        <w:rPr>
          <w:sz w:val="22"/>
          <w:vertAlign w:val="subscript"/>
        </w:rPr>
        <w:t>X</w:t>
      </w:r>
      <w:r>
        <w:rPr>
          <w:sz w:val="22"/>
        </w:rPr>
        <w:t xml:space="preserve"> limits with the additional SCR control technology described below</w:t>
      </w:r>
      <w:r>
        <w:rPr>
          <w:sz w:val="22"/>
          <w:szCs w:val="22"/>
        </w:rPr>
        <w:t xml:space="preserve">.  Thereafter, the system shall be maintained and tuned in accordance with the manufacturer's recommendations or determined best practices.  </w:t>
      </w:r>
      <w:r>
        <w:rPr>
          <w:sz w:val="22"/>
          <w:szCs w:val="22"/>
        </w:rPr>
        <w:br/>
        <w:t>[Design; Rule 62</w:t>
      </w:r>
      <w:r>
        <w:rPr>
          <w:sz w:val="22"/>
          <w:szCs w:val="22"/>
        </w:rPr>
        <w:noBreakHyphen/>
        <w:t>212.400(</w:t>
      </w:r>
      <w:proofErr w:type="gramStart"/>
      <w:r>
        <w:rPr>
          <w:sz w:val="22"/>
          <w:szCs w:val="22"/>
        </w:rPr>
        <w:t>10)(</w:t>
      </w:r>
      <w:proofErr w:type="gramEnd"/>
      <w:r>
        <w:rPr>
          <w:sz w:val="22"/>
          <w:szCs w:val="22"/>
        </w:rPr>
        <w:t>BACT), F.A.C.]</w:t>
      </w:r>
    </w:p>
    <w:p w:rsidR="003C6402" w:rsidRDefault="00F1455E" w:rsidP="00A87939">
      <w:pPr>
        <w:numPr>
          <w:ilvl w:val="0"/>
          <w:numId w:val="2"/>
        </w:numPr>
        <w:suppressAutoHyphens/>
        <w:spacing w:after="120"/>
        <w:rPr>
          <w:sz w:val="22"/>
          <w:szCs w:val="22"/>
        </w:rPr>
      </w:pPr>
      <w:r>
        <w:rPr>
          <w:sz w:val="22"/>
          <w:szCs w:val="22"/>
          <w:u w:val="single"/>
        </w:rPr>
        <w:t>Selective Catalytic Reduction</w:t>
      </w:r>
      <w:r>
        <w:rPr>
          <w:sz w:val="22"/>
          <w:szCs w:val="22"/>
        </w:rPr>
        <w:t xml:space="preserve">:  </w:t>
      </w:r>
      <w:r>
        <w:rPr>
          <w:sz w:val="22"/>
        </w:rPr>
        <w:t>The permittee shall install, tune, operate, and maintain an SCR system to control NO</w:t>
      </w:r>
      <w:r>
        <w:rPr>
          <w:sz w:val="22"/>
          <w:vertAlign w:val="subscript"/>
        </w:rPr>
        <w:t>X</w:t>
      </w:r>
      <w:r>
        <w:rPr>
          <w:sz w:val="22"/>
        </w:rPr>
        <w:t xml:space="preserve"> emissions.  The SCR system consists of an ammonia (NH</w:t>
      </w:r>
      <w:r>
        <w:rPr>
          <w:sz w:val="22"/>
          <w:vertAlign w:val="subscript"/>
        </w:rPr>
        <w:t>3</w:t>
      </w:r>
      <w:r>
        <w:rPr>
          <w:sz w:val="22"/>
        </w:rPr>
        <w:t>) injection grid, catalyst, ammonia storage, monitoring and control system, electrical, piping and other ancillary equipment.  The SCR system shall be designed, constructed and operated to achieve the permitted levels for NO</w:t>
      </w:r>
      <w:r>
        <w:rPr>
          <w:sz w:val="22"/>
          <w:vertAlign w:val="subscript"/>
        </w:rPr>
        <w:t>X</w:t>
      </w:r>
      <w:r>
        <w:rPr>
          <w:sz w:val="22"/>
        </w:rPr>
        <w:t xml:space="preserve"> emissions.</w:t>
      </w:r>
      <w:r>
        <w:rPr>
          <w:sz w:val="22"/>
          <w:szCs w:val="22"/>
        </w:rPr>
        <w:t xml:space="preserve">  </w:t>
      </w:r>
      <w:r>
        <w:rPr>
          <w:sz w:val="22"/>
        </w:rPr>
        <w:t xml:space="preserve">The storage of ammonia shall comply with all applicable requirements of the Chemical Accident Prevention Provisions in 40 CFR 68.  </w:t>
      </w:r>
      <w:r w:rsidR="00A87939" w:rsidRPr="00A87939">
        <w:rPr>
          <w:i/>
          <w:sz w:val="22"/>
        </w:rPr>
        <w:t>{Permitting Note:  If the aqueous solution is approximately 19 percent ammonia (less than 20 percent), then the requirements of 40 CFR 68 would not apply.}</w:t>
      </w:r>
      <w:r w:rsidR="00A87939" w:rsidRPr="00A87939">
        <w:rPr>
          <w:sz w:val="22"/>
          <w:szCs w:val="22"/>
        </w:rPr>
        <w:t xml:space="preserve">  </w:t>
      </w:r>
      <w:r w:rsidRPr="00A87939">
        <w:rPr>
          <w:sz w:val="22"/>
          <w:szCs w:val="22"/>
        </w:rPr>
        <w:t>[Rule 62-212.400(</w:t>
      </w:r>
      <w:proofErr w:type="gramStart"/>
      <w:r w:rsidRPr="00A87939">
        <w:rPr>
          <w:sz w:val="22"/>
          <w:szCs w:val="22"/>
        </w:rPr>
        <w:t>10)(</w:t>
      </w:r>
      <w:proofErr w:type="gramEnd"/>
      <w:r w:rsidRPr="00A87939">
        <w:rPr>
          <w:sz w:val="22"/>
          <w:szCs w:val="22"/>
        </w:rPr>
        <w:t>BACT), F.A.C.]</w:t>
      </w:r>
    </w:p>
    <w:p w:rsidR="003C6402" w:rsidRDefault="003C6402">
      <w:pPr>
        <w:rPr>
          <w:sz w:val="22"/>
          <w:szCs w:val="22"/>
        </w:rPr>
      </w:pPr>
      <w:r>
        <w:rPr>
          <w:sz w:val="22"/>
          <w:szCs w:val="22"/>
        </w:rPr>
        <w:br w:type="page"/>
      </w:r>
    </w:p>
    <w:p w:rsidR="00F1455E" w:rsidRDefault="00F1455E" w:rsidP="003C6402">
      <w:pPr>
        <w:spacing w:after="120"/>
        <w:rPr>
          <w:b/>
          <w:caps/>
          <w:color w:val="000000"/>
          <w:sz w:val="22"/>
          <w:szCs w:val="22"/>
        </w:rPr>
      </w:pPr>
      <w:r>
        <w:rPr>
          <w:b/>
          <w:caps/>
          <w:color w:val="000000"/>
          <w:sz w:val="22"/>
          <w:szCs w:val="22"/>
        </w:rPr>
        <w:lastRenderedPageBreak/>
        <w:t>Performance Requirements</w:t>
      </w:r>
    </w:p>
    <w:p w:rsidR="005F5CDD" w:rsidRPr="005F5CDD" w:rsidRDefault="005F5CDD" w:rsidP="00005976">
      <w:pPr>
        <w:numPr>
          <w:ilvl w:val="0"/>
          <w:numId w:val="2"/>
        </w:numPr>
        <w:suppressAutoHyphens/>
        <w:spacing w:after="120"/>
        <w:rPr>
          <w:sz w:val="22"/>
          <w:szCs w:val="22"/>
        </w:rPr>
      </w:pPr>
      <w:bookmarkStart w:id="7" w:name="_Ref511646141"/>
      <w:r w:rsidRPr="005F5CDD">
        <w:rPr>
          <w:sz w:val="22"/>
          <w:szCs w:val="22"/>
          <w:u w:val="single"/>
        </w:rPr>
        <w:t>Permitted Capacity</w:t>
      </w:r>
      <w:r w:rsidRPr="005F5CDD">
        <w:rPr>
          <w:sz w:val="22"/>
          <w:szCs w:val="22"/>
        </w:rPr>
        <w:t xml:space="preserve">:  </w:t>
      </w:r>
      <w:r w:rsidR="00005976" w:rsidRPr="00005976">
        <w:rPr>
          <w:sz w:val="22"/>
          <w:szCs w:val="22"/>
        </w:rPr>
        <w:t xml:space="preserve">The maximum heat input rate </w:t>
      </w:r>
      <w:r w:rsidR="006D0BFB">
        <w:rPr>
          <w:sz w:val="22"/>
          <w:szCs w:val="22"/>
        </w:rPr>
        <w:t>of the</w:t>
      </w:r>
      <w:r w:rsidR="00005976" w:rsidRPr="00005976">
        <w:rPr>
          <w:sz w:val="22"/>
          <w:szCs w:val="22"/>
        </w:rPr>
        <w:t xml:space="preserve"> gas turbine is </w:t>
      </w:r>
      <w:r w:rsidR="00A87939">
        <w:rPr>
          <w:sz w:val="22"/>
          <w:szCs w:val="22"/>
        </w:rPr>
        <w:t>3,622.1</w:t>
      </w:r>
      <w:r w:rsidR="005010E1">
        <w:rPr>
          <w:sz w:val="22"/>
          <w:szCs w:val="22"/>
        </w:rPr>
        <w:t xml:space="preserve"> MMBtu/</w:t>
      </w:r>
      <w:r w:rsidR="00005976" w:rsidRPr="00005976">
        <w:rPr>
          <w:sz w:val="22"/>
          <w:szCs w:val="22"/>
        </w:rPr>
        <w:t xml:space="preserve">hour based on a compressor inlet air temperature of 59° F, the </w:t>
      </w:r>
      <w:r w:rsidR="005010E1">
        <w:rPr>
          <w:sz w:val="22"/>
          <w:szCs w:val="22"/>
        </w:rPr>
        <w:t>higher heating value (H</w:t>
      </w:r>
      <w:r w:rsidR="00005976" w:rsidRPr="00005976">
        <w:rPr>
          <w:sz w:val="22"/>
          <w:szCs w:val="22"/>
        </w:rPr>
        <w:t xml:space="preserve">HV) of </w:t>
      </w:r>
      <w:r w:rsidR="005010E1">
        <w:rPr>
          <w:sz w:val="22"/>
          <w:szCs w:val="22"/>
        </w:rPr>
        <w:t>natural gas</w:t>
      </w:r>
      <w:r w:rsidR="00005976" w:rsidRPr="00005976">
        <w:rPr>
          <w:sz w:val="22"/>
          <w:szCs w:val="22"/>
        </w:rPr>
        <w:t>, and 100% load</w:t>
      </w:r>
      <w:r w:rsidR="005010E1">
        <w:rPr>
          <w:sz w:val="22"/>
          <w:szCs w:val="22"/>
        </w:rPr>
        <w:t xml:space="preserve">.  </w:t>
      </w:r>
      <w:r w:rsidRPr="005F5CDD">
        <w:rPr>
          <w:sz w:val="22"/>
        </w:rPr>
        <w:t xml:space="preserve">Heat input rates will vary depending upon gas turbine characteristics, ambient conditions, alternate methods of operation, and evaporative cooling.  The permittee shall provide manufacturer’s performance curves (or equations) that correct for site conditions to the Permitting and Compliance Authorities within 45 days of completing the initial compliance testing.  The manufacturer’s performance curves shall be used for determination of different loads for </w:t>
      </w:r>
      <w:r w:rsidR="00A87939">
        <w:rPr>
          <w:sz w:val="22"/>
        </w:rPr>
        <w:t>initial and annual compliance</w:t>
      </w:r>
      <w:r w:rsidRPr="005F5CDD">
        <w:rPr>
          <w:sz w:val="22"/>
        </w:rPr>
        <w:t xml:space="preserve"> testing as established in </w:t>
      </w:r>
      <w:r w:rsidRPr="005F5CDD">
        <w:rPr>
          <w:b/>
          <w:sz w:val="22"/>
        </w:rPr>
        <w:t>Specific Conditions</w:t>
      </w:r>
      <w:r w:rsidRPr="005F5CDD">
        <w:rPr>
          <w:sz w:val="22"/>
        </w:rPr>
        <w:t xml:space="preserve"> </w:t>
      </w:r>
      <w:hyperlink w:anchor="forteen" w:tooltip=" " w:history="1">
        <w:r w:rsidR="005B581F" w:rsidRPr="005B581F">
          <w:rPr>
            <w:b/>
            <w:sz w:val="22"/>
          </w:rPr>
          <w:fldChar w:fldCharType="begin"/>
        </w:r>
        <w:r w:rsidR="005B581F" w:rsidRPr="005B581F">
          <w:rPr>
            <w:b/>
          </w:rPr>
          <w:instrText xml:space="preserve"> REF _Ref436660377 \r \h </w:instrText>
        </w:r>
        <w:r w:rsidR="005B581F" w:rsidRPr="005B581F">
          <w:rPr>
            <w:b/>
            <w:sz w:val="22"/>
          </w:rPr>
          <w:instrText xml:space="preserve"> \* MERGEFORMAT </w:instrText>
        </w:r>
        <w:r w:rsidR="005B581F" w:rsidRPr="005B581F">
          <w:rPr>
            <w:b/>
            <w:sz w:val="22"/>
          </w:rPr>
        </w:r>
        <w:r w:rsidR="005B581F" w:rsidRPr="005B581F">
          <w:rPr>
            <w:b/>
            <w:sz w:val="22"/>
          </w:rPr>
          <w:fldChar w:fldCharType="separate"/>
        </w:r>
        <w:r w:rsidR="006D04C9">
          <w:rPr>
            <w:b/>
          </w:rPr>
          <w:t>11</w:t>
        </w:r>
        <w:r w:rsidR="005B581F" w:rsidRPr="005B581F">
          <w:rPr>
            <w:b/>
            <w:sz w:val="22"/>
          </w:rPr>
          <w:fldChar w:fldCharType="end"/>
        </w:r>
      </w:hyperlink>
      <w:r w:rsidRPr="005B581F">
        <w:rPr>
          <w:sz w:val="22"/>
        </w:rPr>
        <w:t xml:space="preserve"> and </w:t>
      </w:r>
      <w:r w:rsidR="005B581F" w:rsidRPr="005B581F">
        <w:rPr>
          <w:b/>
          <w:sz w:val="22"/>
        </w:rPr>
        <w:fldChar w:fldCharType="begin"/>
      </w:r>
      <w:r w:rsidR="005B581F" w:rsidRPr="005B581F">
        <w:rPr>
          <w:b/>
          <w:sz w:val="22"/>
        </w:rPr>
        <w:instrText xml:space="preserve"> REF _Ref436660393 \r \h </w:instrText>
      </w:r>
      <w:r w:rsidR="005B581F">
        <w:rPr>
          <w:b/>
          <w:sz w:val="22"/>
        </w:rPr>
        <w:instrText xml:space="preserve"> \* MERGEFORMAT </w:instrText>
      </w:r>
      <w:r w:rsidR="005B581F" w:rsidRPr="005B581F">
        <w:rPr>
          <w:b/>
          <w:sz w:val="22"/>
        </w:rPr>
      </w:r>
      <w:r w:rsidR="005B581F" w:rsidRPr="005B581F">
        <w:rPr>
          <w:b/>
          <w:sz w:val="22"/>
        </w:rPr>
        <w:fldChar w:fldCharType="separate"/>
      </w:r>
      <w:r w:rsidR="006D04C9">
        <w:rPr>
          <w:b/>
          <w:sz w:val="22"/>
        </w:rPr>
        <w:t>12</w:t>
      </w:r>
      <w:r w:rsidR="005B581F" w:rsidRPr="005B581F">
        <w:rPr>
          <w:b/>
          <w:sz w:val="22"/>
        </w:rPr>
        <w:fldChar w:fldCharType="end"/>
      </w:r>
      <w:r w:rsidRPr="005B581F">
        <w:rPr>
          <w:sz w:val="22"/>
        </w:rPr>
        <w:t>.  Operating data may be adjusted for the appropriate site conditions in accordance with the performance curves</w:t>
      </w:r>
      <w:r w:rsidRPr="005F5CDD">
        <w:rPr>
          <w:sz w:val="22"/>
        </w:rPr>
        <w:t xml:space="preserve"> and/or equations on file with the Department.</w:t>
      </w:r>
      <w:r w:rsidRPr="005F5CDD">
        <w:rPr>
          <w:sz w:val="22"/>
          <w:szCs w:val="22"/>
        </w:rPr>
        <w:t xml:space="preserve">  [Rule 62-210.200(PTE), F.A.C.]</w:t>
      </w:r>
      <w:bookmarkEnd w:id="7"/>
    </w:p>
    <w:p w:rsidR="00F1455E" w:rsidRDefault="00F1455E" w:rsidP="0017609E">
      <w:pPr>
        <w:numPr>
          <w:ilvl w:val="0"/>
          <w:numId w:val="2"/>
        </w:numPr>
        <w:suppressAutoHyphens/>
        <w:spacing w:after="120"/>
        <w:rPr>
          <w:sz w:val="22"/>
          <w:szCs w:val="22"/>
        </w:rPr>
      </w:pPr>
      <w:r w:rsidRPr="0017609E">
        <w:rPr>
          <w:sz w:val="22"/>
          <w:szCs w:val="22"/>
          <w:u w:val="single"/>
        </w:rPr>
        <w:t>Authorized</w:t>
      </w:r>
      <w:r>
        <w:rPr>
          <w:iCs/>
          <w:sz w:val="22"/>
          <w:szCs w:val="22"/>
          <w:u w:val="single"/>
        </w:rPr>
        <w:t xml:space="preserve"> Fuels</w:t>
      </w:r>
      <w:r>
        <w:rPr>
          <w:sz w:val="22"/>
          <w:szCs w:val="22"/>
        </w:rPr>
        <w:t>:  The combustion turbine shall</w:t>
      </w:r>
      <w:r w:rsidR="00D1623B">
        <w:rPr>
          <w:sz w:val="22"/>
          <w:szCs w:val="22"/>
        </w:rPr>
        <w:t xml:space="preserve"> only</w:t>
      </w:r>
      <w:r>
        <w:rPr>
          <w:sz w:val="22"/>
          <w:szCs w:val="22"/>
        </w:rPr>
        <w:t xml:space="preserve"> fire natural gas, which shall contain no more than 2</w:t>
      </w:r>
      <w:r w:rsidR="00131F2A">
        <w:rPr>
          <w:sz w:val="22"/>
          <w:szCs w:val="22"/>
        </w:rPr>
        <w:t>.0</w:t>
      </w:r>
      <w:r>
        <w:rPr>
          <w:sz w:val="22"/>
          <w:szCs w:val="22"/>
        </w:rPr>
        <w:t xml:space="preserve"> grains of sulfur per 100 standard cubic feet (gr. sulfur/100 SCF).  [Rules 62-210.200 (P</w:t>
      </w:r>
      <w:r w:rsidR="00FD301D">
        <w:rPr>
          <w:sz w:val="22"/>
          <w:szCs w:val="22"/>
        </w:rPr>
        <w:t>TE</w:t>
      </w:r>
      <w:r>
        <w:rPr>
          <w:sz w:val="22"/>
          <w:szCs w:val="22"/>
        </w:rPr>
        <w:t>) and 62-212.400</w:t>
      </w:r>
      <w:r w:rsidR="00907D54">
        <w:rPr>
          <w:sz w:val="22"/>
          <w:szCs w:val="22"/>
        </w:rPr>
        <w:t>(BACT)</w:t>
      </w:r>
      <w:r>
        <w:rPr>
          <w:sz w:val="22"/>
          <w:szCs w:val="22"/>
        </w:rPr>
        <w:t>, F.A.C.]</w:t>
      </w:r>
    </w:p>
    <w:p w:rsidR="00F1455E" w:rsidRPr="00BB576C" w:rsidRDefault="00F1455E" w:rsidP="00BB576C">
      <w:pPr>
        <w:numPr>
          <w:ilvl w:val="0"/>
          <w:numId w:val="2"/>
        </w:numPr>
        <w:suppressAutoHyphens/>
        <w:spacing w:after="120"/>
        <w:rPr>
          <w:sz w:val="22"/>
          <w:szCs w:val="22"/>
        </w:rPr>
      </w:pPr>
      <w:r>
        <w:rPr>
          <w:iCs/>
          <w:sz w:val="22"/>
          <w:szCs w:val="22"/>
          <w:u w:val="single"/>
        </w:rPr>
        <w:t xml:space="preserve">Hours of </w:t>
      </w:r>
      <w:r w:rsidRPr="0017609E">
        <w:rPr>
          <w:sz w:val="22"/>
          <w:szCs w:val="22"/>
          <w:u w:val="single"/>
        </w:rPr>
        <w:t>Operation</w:t>
      </w:r>
      <w:r>
        <w:rPr>
          <w:sz w:val="22"/>
          <w:szCs w:val="22"/>
        </w:rPr>
        <w:t xml:space="preserve">:  </w:t>
      </w:r>
      <w:r w:rsidRPr="00BB576C">
        <w:rPr>
          <w:sz w:val="22"/>
          <w:szCs w:val="22"/>
        </w:rPr>
        <w:t>The hours of ope</w:t>
      </w:r>
      <w:r w:rsidR="00B40825">
        <w:rPr>
          <w:sz w:val="22"/>
          <w:szCs w:val="22"/>
        </w:rPr>
        <w:t>ration are not restricted (</w:t>
      </w:r>
      <w:r w:rsidRPr="00BB576C">
        <w:rPr>
          <w:sz w:val="22"/>
          <w:szCs w:val="22"/>
        </w:rPr>
        <w:t>8,760 hours per year)</w:t>
      </w:r>
      <w:r w:rsidR="00054691">
        <w:rPr>
          <w:sz w:val="22"/>
          <w:szCs w:val="22"/>
        </w:rPr>
        <w:t xml:space="preserve">, however, the </w:t>
      </w:r>
      <w:r w:rsidR="003F01B9">
        <w:rPr>
          <w:sz w:val="22"/>
          <w:szCs w:val="22"/>
        </w:rPr>
        <w:t xml:space="preserve">duct firing shall be limited </w:t>
      </w:r>
      <w:r w:rsidR="003F01B9" w:rsidRPr="004C3414">
        <w:rPr>
          <w:sz w:val="22"/>
          <w:szCs w:val="22"/>
        </w:rPr>
        <w:t>to 4,000 hours per year</w:t>
      </w:r>
      <w:r w:rsidRPr="00BB576C">
        <w:rPr>
          <w:sz w:val="22"/>
          <w:szCs w:val="22"/>
        </w:rPr>
        <w:t xml:space="preserve">. </w:t>
      </w:r>
      <w:r w:rsidR="00BB576C" w:rsidRPr="00BB576C">
        <w:rPr>
          <w:sz w:val="22"/>
          <w:szCs w:val="22"/>
        </w:rPr>
        <w:t xml:space="preserve"> </w:t>
      </w:r>
      <w:r w:rsidRPr="00BB576C">
        <w:rPr>
          <w:sz w:val="22"/>
          <w:szCs w:val="22"/>
        </w:rPr>
        <w:t>[Rule 62-210.200(PTE), F.A.C.]</w:t>
      </w:r>
    </w:p>
    <w:p w:rsidR="00F1455E" w:rsidRDefault="00F1455E" w:rsidP="0017609E">
      <w:pPr>
        <w:numPr>
          <w:ilvl w:val="0"/>
          <w:numId w:val="2"/>
        </w:numPr>
        <w:suppressAutoHyphens/>
        <w:spacing w:after="120"/>
        <w:rPr>
          <w:i/>
          <w:sz w:val="22"/>
          <w:szCs w:val="22"/>
        </w:rPr>
      </w:pPr>
      <w:bookmarkStart w:id="8" w:name="_Ref436730072"/>
      <w:bookmarkStart w:id="9" w:name="_Ref511649437"/>
      <w:r>
        <w:rPr>
          <w:sz w:val="22"/>
          <w:szCs w:val="22"/>
          <w:u w:val="single"/>
        </w:rPr>
        <w:t>Prohibition on Low-Load Operation</w:t>
      </w:r>
      <w:r>
        <w:rPr>
          <w:sz w:val="22"/>
          <w:szCs w:val="22"/>
        </w:rPr>
        <w:t xml:space="preserve">:  Other than during periods of startup, shutdown, </w:t>
      </w:r>
      <w:r w:rsidR="00E01468">
        <w:rPr>
          <w:sz w:val="22"/>
          <w:szCs w:val="22"/>
        </w:rPr>
        <w:t xml:space="preserve">SCR and </w:t>
      </w:r>
      <w:r>
        <w:rPr>
          <w:sz w:val="22"/>
          <w:szCs w:val="22"/>
        </w:rPr>
        <w:t>DLN</w:t>
      </w:r>
      <w:r w:rsidR="00E01468">
        <w:rPr>
          <w:sz w:val="22"/>
          <w:szCs w:val="22"/>
        </w:rPr>
        <w:t xml:space="preserve"> (combustion)</w:t>
      </w:r>
      <w:r>
        <w:rPr>
          <w:sz w:val="22"/>
          <w:szCs w:val="22"/>
        </w:rPr>
        <w:t xml:space="preserve"> tuning, non-base-load CO stack tests (for compliance with </w:t>
      </w:r>
      <w:r>
        <w:rPr>
          <w:b/>
          <w:sz w:val="22"/>
          <w:szCs w:val="22"/>
        </w:rPr>
        <w:t xml:space="preserve">Specific Condition </w:t>
      </w:r>
      <w:r w:rsidR="00E01468">
        <w:rPr>
          <w:highlight w:val="yellow"/>
        </w:rPr>
        <w:fldChar w:fldCharType="begin"/>
      </w:r>
      <w:r w:rsidR="00E01468">
        <w:rPr>
          <w:b/>
          <w:sz w:val="22"/>
          <w:szCs w:val="22"/>
        </w:rPr>
        <w:instrText xml:space="preserve"> REF _Ref437009839 \r \h </w:instrText>
      </w:r>
      <w:r w:rsidR="00E01468">
        <w:rPr>
          <w:highlight w:val="yellow"/>
        </w:rPr>
      </w:r>
      <w:r w:rsidR="00E01468">
        <w:rPr>
          <w:highlight w:val="yellow"/>
        </w:rPr>
        <w:fldChar w:fldCharType="separate"/>
      </w:r>
      <w:r w:rsidR="00E01468">
        <w:rPr>
          <w:b/>
          <w:sz w:val="22"/>
          <w:szCs w:val="22"/>
        </w:rPr>
        <w:t>11.b</w:t>
      </w:r>
      <w:r w:rsidR="00E01468">
        <w:rPr>
          <w:highlight w:val="yellow"/>
        </w:rPr>
        <w:fldChar w:fldCharType="end"/>
      </w:r>
      <w:r w:rsidR="00D83FA7" w:rsidRPr="00D83FA7">
        <w:t xml:space="preserve"> </w:t>
      </w:r>
      <w:r w:rsidRPr="00D83FA7">
        <w:rPr>
          <w:sz w:val="22"/>
          <w:szCs w:val="22"/>
        </w:rPr>
        <w:t>or</w:t>
      </w:r>
      <w:r w:rsidR="00D83FA7">
        <w:rPr>
          <w:sz w:val="22"/>
          <w:szCs w:val="22"/>
        </w:rPr>
        <w:t xml:space="preserve"> </w:t>
      </w:r>
      <w:r w:rsidR="00D83FA7" w:rsidRPr="00D83FA7">
        <w:rPr>
          <w:b/>
          <w:sz w:val="22"/>
          <w:szCs w:val="22"/>
        </w:rPr>
        <w:t>12.</w:t>
      </w:r>
      <w:r w:rsidR="00D83FA7" w:rsidRPr="00D83FA7">
        <w:rPr>
          <w:b/>
          <w:sz w:val="22"/>
          <w:szCs w:val="22"/>
          <w:highlight w:val="yellow"/>
        </w:rPr>
        <w:fldChar w:fldCharType="begin"/>
      </w:r>
      <w:r w:rsidR="00D83FA7" w:rsidRPr="00D83FA7">
        <w:rPr>
          <w:b/>
          <w:sz w:val="22"/>
          <w:szCs w:val="22"/>
        </w:rPr>
        <w:instrText xml:space="preserve"> REF _Ref437078046 \r \h </w:instrText>
      </w:r>
      <w:r w:rsidR="00D83FA7">
        <w:rPr>
          <w:b/>
          <w:sz w:val="22"/>
          <w:szCs w:val="22"/>
          <w:highlight w:val="yellow"/>
        </w:rPr>
        <w:instrText xml:space="preserve"> \* MERGEFORMAT </w:instrText>
      </w:r>
      <w:r w:rsidR="00D83FA7" w:rsidRPr="00D83FA7">
        <w:rPr>
          <w:b/>
          <w:sz w:val="22"/>
          <w:szCs w:val="22"/>
          <w:highlight w:val="yellow"/>
        </w:rPr>
      </w:r>
      <w:r w:rsidR="00D83FA7" w:rsidRPr="00D83FA7">
        <w:rPr>
          <w:b/>
          <w:sz w:val="22"/>
          <w:szCs w:val="22"/>
          <w:highlight w:val="yellow"/>
        </w:rPr>
        <w:fldChar w:fldCharType="separate"/>
      </w:r>
      <w:r w:rsidR="006D04C9">
        <w:rPr>
          <w:b/>
          <w:sz w:val="22"/>
          <w:szCs w:val="22"/>
        </w:rPr>
        <w:t>b</w:t>
      </w:r>
      <w:r w:rsidR="00D83FA7" w:rsidRPr="00D83FA7">
        <w:rPr>
          <w:b/>
          <w:sz w:val="22"/>
          <w:szCs w:val="22"/>
          <w:highlight w:val="yellow"/>
        </w:rPr>
        <w:fldChar w:fldCharType="end"/>
      </w:r>
      <w:r>
        <w:rPr>
          <w:sz w:val="22"/>
          <w:szCs w:val="22"/>
        </w:rPr>
        <w:t xml:space="preserve">), or documented malfunctions (as defined in </w:t>
      </w:r>
      <w:r>
        <w:rPr>
          <w:b/>
          <w:sz w:val="22"/>
          <w:szCs w:val="22"/>
        </w:rPr>
        <w:t xml:space="preserve">Specific Condition </w:t>
      </w:r>
      <w:r w:rsidR="00066283">
        <w:fldChar w:fldCharType="begin"/>
      </w:r>
      <w:r w:rsidR="00066283">
        <w:rPr>
          <w:b/>
          <w:sz w:val="22"/>
          <w:szCs w:val="22"/>
        </w:rPr>
        <w:instrText xml:space="preserve"> REF _Ref439860637 \r \h </w:instrText>
      </w:r>
      <w:r w:rsidR="00066283">
        <w:fldChar w:fldCharType="separate"/>
      </w:r>
      <w:r w:rsidR="00AB2C16">
        <w:rPr>
          <w:b/>
          <w:sz w:val="22"/>
          <w:szCs w:val="22"/>
        </w:rPr>
        <w:t>17</w:t>
      </w:r>
      <w:r w:rsidR="006D04C9">
        <w:rPr>
          <w:b/>
          <w:sz w:val="22"/>
          <w:szCs w:val="22"/>
        </w:rPr>
        <w:t>.h</w:t>
      </w:r>
      <w:r w:rsidR="00066283">
        <w:fldChar w:fldCharType="end"/>
      </w:r>
      <w:r>
        <w:rPr>
          <w:sz w:val="22"/>
          <w:szCs w:val="22"/>
        </w:rPr>
        <w:t xml:space="preserve">), the permittee shall not operate </w:t>
      </w:r>
      <w:r w:rsidR="002A418E">
        <w:rPr>
          <w:sz w:val="22"/>
          <w:szCs w:val="22"/>
        </w:rPr>
        <w:t>the</w:t>
      </w:r>
      <w:r w:rsidR="004C3FEF">
        <w:rPr>
          <w:sz w:val="22"/>
          <w:szCs w:val="22"/>
        </w:rPr>
        <w:t xml:space="preserve"> CTG</w:t>
      </w:r>
      <w:r>
        <w:rPr>
          <w:sz w:val="22"/>
          <w:szCs w:val="22"/>
        </w:rPr>
        <w:t xml:space="preserve"> at a load less than the load at which compliance with the non-base-load CO limit was demonstrated in the most recent non-base-load CO test (</w:t>
      </w:r>
      <w:r w:rsidR="006927D8">
        <w:rPr>
          <w:b/>
          <w:sz w:val="22"/>
          <w:szCs w:val="22"/>
        </w:rPr>
        <w:t xml:space="preserve">Specific Condition </w:t>
      </w:r>
      <w:r w:rsidR="006927D8">
        <w:rPr>
          <w:highlight w:val="yellow"/>
        </w:rPr>
        <w:fldChar w:fldCharType="begin"/>
      </w:r>
      <w:r w:rsidR="006927D8">
        <w:rPr>
          <w:b/>
          <w:sz w:val="22"/>
          <w:szCs w:val="22"/>
        </w:rPr>
        <w:instrText xml:space="preserve"> REF _Ref437009839 \r \h </w:instrText>
      </w:r>
      <w:r w:rsidR="006927D8">
        <w:rPr>
          <w:highlight w:val="yellow"/>
        </w:rPr>
      </w:r>
      <w:r w:rsidR="006927D8">
        <w:rPr>
          <w:highlight w:val="yellow"/>
        </w:rPr>
        <w:fldChar w:fldCharType="separate"/>
      </w:r>
      <w:r w:rsidR="00AB2C16">
        <w:rPr>
          <w:b/>
          <w:sz w:val="22"/>
          <w:szCs w:val="22"/>
        </w:rPr>
        <w:t>11</w:t>
      </w:r>
      <w:r w:rsidR="006D04C9">
        <w:rPr>
          <w:b/>
          <w:sz w:val="22"/>
          <w:szCs w:val="22"/>
        </w:rPr>
        <w:t>.b</w:t>
      </w:r>
      <w:r w:rsidR="006927D8">
        <w:rPr>
          <w:highlight w:val="yellow"/>
        </w:rPr>
        <w:fldChar w:fldCharType="end"/>
      </w:r>
      <w:r w:rsidR="006927D8" w:rsidRPr="00D83FA7">
        <w:t xml:space="preserve"> </w:t>
      </w:r>
      <w:r w:rsidR="006927D8" w:rsidRPr="00D83FA7">
        <w:rPr>
          <w:sz w:val="22"/>
          <w:szCs w:val="22"/>
        </w:rPr>
        <w:t>or</w:t>
      </w:r>
      <w:r w:rsidR="006927D8">
        <w:rPr>
          <w:sz w:val="22"/>
          <w:szCs w:val="22"/>
        </w:rPr>
        <w:t xml:space="preserve"> </w:t>
      </w:r>
      <w:r w:rsidR="006927D8" w:rsidRPr="00D83FA7">
        <w:rPr>
          <w:b/>
          <w:sz w:val="22"/>
          <w:szCs w:val="22"/>
        </w:rPr>
        <w:t>12.</w:t>
      </w:r>
      <w:r w:rsidR="006927D8" w:rsidRPr="00D83FA7">
        <w:rPr>
          <w:b/>
          <w:sz w:val="22"/>
          <w:szCs w:val="22"/>
          <w:highlight w:val="yellow"/>
        </w:rPr>
        <w:fldChar w:fldCharType="begin"/>
      </w:r>
      <w:r w:rsidR="006927D8" w:rsidRPr="00D83FA7">
        <w:rPr>
          <w:b/>
          <w:sz w:val="22"/>
          <w:szCs w:val="22"/>
        </w:rPr>
        <w:instrText xml:space="preserve"> REF _Ref437078046 \r \h </w:instrText>
      </w:r>
      <w:r w:rsidR="006927D8">
        <w:rPr>
          <w:b/>
          <w:sz w:val="22"/>
          <w:szCs w:val="22"/>
          <w:highlight w:val="yellow"/>
        </w:rPr>
        <w:instrText xml:space="preserve"> \* MERGEFORMAT </w:instrText>
      </w:r>
      <w:r w:rsidR="006927D8" w:rsidRPr="00D83FA7">
        <w:rPr>
          <w:b/>
          <w:sz w:val="22"/>
          <w:szCs w:val="22"/>
          <w:highlight w:val="yellow"/>
        </w:rPr>
      </w:r>
      <w:r w:rsidR="006927D8" w:rsidRPr="00D83FA7">
        <w:rPr>
          <w:b/>
          <w:sz w:val="22"/>
          <w:szCs w:val="22"/>
          <w:highlight w:val="yellow"/>
        </w:rPr>
        <w:fldChar w:fldCharType="separate"/>
      </w:r>
      <w:r w:rsidR="006D04C9">
        <w:rPr>
          <w:b/>
          <w:sz w:val="22"/>
          <w:szCs w:val="22"/>
        </w:rPr>
        <w:t>b</w:t>
      </w:r>
      <w:r w:rsidR="006927D8" w:rsidRPr="00D83FA7">
        <w:rPr>
          <w:b/>
          <w:sz w:val="22"/>
          <w:szCs w:val="22"/>
          <w:highlight w:val="yellow"/>
        </w:rPr>
        <w:fldChar w:fldCharType="end"/>
      </w:r>
      <w:r>
        <w:rPr>
          <w:sz w:val="22"/>
          <w:szCs w:val="22"/>
        </w:rPr>
        <w:t xml:space="preserve">), as determined by the performance curves in </w:t>
      </w:r>
      <w:r>
        <w:rPr>
          <w:b/>
          <w:sz w:val="22"/>
          <w:szCs w:val="22"/>
        </w:rPr>
        <w:t xml:space="preserve">Specific Condition </w:t>
      </w:r>
      <w:r w:rsidR="006927D8">
        <w:fldChar w:fldCharType="begin"/>
      </w:r>
      <w:r w:rsidR="006927D8">
        <w:rPr>
          <w:b/>
          <w:sz w:val="22"/>
          <w:szCs w:val="22"/>
        </w:rPr>
        <w:instrText xml:space="preserve"> REF _Ref511646141 \r \h </w:instrText>
      </w:r>
      <w:r w:rsidR="006927D8">
        <w:fldChar w:fldCharType="separate"/>
      </w:r>
      <w:r w:rsidR="006D04C9">
        <w:rPr>
          <w:b/>
          <w:sz w:val="22"/>
          <w:szCs w:val="22"/>
        </w:rPr>
        <w:t>4</w:t>
      </w:r>
      <w:r w:rsidR="006927D8">
        <w:fldChar w:fldCharType="end"/>
      </w:r>
      <w:r>
        <w:rPr>
          <w:sz w:val="22"/>
          <w:szCs w:val="22"/>
        </w:rPr>
        <w:t>.</w:t>
      </w:r>
      <w:bookmarkEnd w:id="8"/>
      <w:r>
        <w:rPr>
          <w:sz w:val="22"/>
          <w:szCs w:val="22"/>
        </w:rPr>
        <w:t xml:space="preserve">  The minimum operating</w:t>
      </w:r>
      <w:r w:rsidR="004C3FEF">
        <w:rPr>
          <w:sz w:val="22"/>
          <w:szCs w:val="22"/>
        </w:rPr>
        <w:t xml:space="preserve"> CTG</w:t>
      </w:r>
      <w:r w:rsidR="00AB2C16">
        <w:rPr>
          <w:sz w:val="22"/>
          <w:szCs w:val="22"/>
        </w:rPr>
        <w:t xml:space="preserve"> load </w:t>
      </w:r>
      <w:r w:rsidR="002A418E">
        <w:rPr>
          <w:sz w:val="22"/>
          <w:szCs w:val="22"/>
        </w:rPr>
        <w:t xml:space="preserve">shall be no less than </w:t>
      </w:r>
      <w:r w:rsidR="00AD58B6" w:rsidRPr="004C3414">
        <w:rPr>
          <w:sz w:val="22"/>
          <w:szCs w:val="22"/>
        </w:rPr>
        <w:t>25</w:t>
      </w:r>
      <w:r w:rsidR="002A418E">
        <w:rPr>
          <w:sz w:val="22"/>
          <w:szCs w:val="22"/>
        </w:rPr>
        <w:t>%</w:t>
      </w:r>
      <w:r w:rsidR="009F1D0F">
        <w:rPr>
          <w:sz w:val="22"/>
          <w:szCs w:val="22"/>
        </w:rPr>
        <w:t xml:space="preserve"> at 59°F</w:t>
      </w:r>
      <w:r w:rsidR="00B367B2">
        <w:rPr>
          <w:sz w:val="22"/>
          <w:szCs w:val="22"/>
        </w:rPr>
        <w:t>.  [Rule 62-212.4</w:t>
      </w:r>
      <w:r>
        <w:rPr>
          <w:sz w:val="22"/>
          <w:szCs w:val="22"/>
        </w:rPr>
        <w:t>00(BACT), F.A.C.]</w:t>
      </w:r>
      <w:bookmarkEnd w:id="9"/>
    </w:p>
    <w:p w:rsidR="00F1455E" w:rsidRDefault="00F1455E" w:rsidP="00F1455E">
      <w:pPr>
        <w:spacing w:before="60" w:after="120"/>
        <w:ind w:left="360"/>
        <w:rPr>
          <w:i/>
          <w:sz w:val="22"/>
          <w:szCs w:val="22"/>
        </w:rPr>
      </w:pPr>
      <w:r>
        <w:rPr>
          <w:i/>
          <w:sz w:val="22"/>
          <w:szCs w:val="22"/>
        </w:rPr>
        <w:t xml:space="preserve">{Permitting </w:t>
      </w:r>
      <w:r w:rsidR="007A1370">
        <w:rPr>
          <w:i/>
          <w:sz w:val="22"/>
          <w:szCs w:val="22"/>
        </w:rPr>
        <w:t>N</w:t>
      </w:r>
      <w:r>
        <w:rPr>
          <w:i/>
          <w:sz w:val="22"/>
          <w:szCs w:val="22"/>
        </w:rPr>
        <w:t>ote:  Limiting low-load operation prevents</w:t>
      </w:r>
      <w:r w:rsidR="00E01468">
        <w:rPr>
          <w:i/>
          <w:sz w:val="22"/>
          <w:szCs w:val="22"/>
        </w:rPr>
        <w:t xml:space="preserve"> increased</w:t>
      </w:r>
      <w:r>
        <w:rPr>
          <w:i/>
          <w:sz w:val="22"/>
          <w:szCs w:val="22"/>
        </w:rPr>
        <w:t xml:space="preserve"> CO emissions associated with low turbine loads.  According to manufacturer estimates, the minimum operating loads established under this condition will likely be </w:t>
      </w:r>
      <w:proofErr w:type="gramStart"/>
      <w:r>
        <w:rPr>
          <w:i/>
          <w:sz w:val="22"/>
          <w:szCs w:val="22"/>
        </w:rPr>
        <w:t>in the vicinity of</w:t>
      </w:r>
      <w:proofErr w:type="gramEnd"/>
      <w:r>
        <w:rPr>
          <w:i/>
          <w:sz w:val="22"/>
          <w:szCs w:val="22"/>
        </w:rPr>
        <w:t xml:space="preserve"> </w:t>
      </w:r>
      <w:r w:rsidR="00AD58B6" w:rsidRPr="004C3414">
        <w:rPr>
          <w:i/>
          <w:sz w:val="22"/>
          <w:szCs w:val="22"/>
        </w:rPr>
        <w:t>25</w:t>
      </w:r>
      <w:r>
        <w:rPr>
          <w:i/>
          <w:sz w:val="22"/>
          <w:szCs w:val="22"/>
        </w:rPr>
        <w:t>%</w:t>
      </w:r>
      <w:r w:rsidR="00D837FB">
        <w:rPr>
          <w:i/>
          <w:sz w:val="22"/>
          <w:szCs w:val="22"/>
        </w:rPr>
        <w:t xml:space="preserve"> CTG</w:t>
      </w:r>
      <w:r>
        <w:rPr>
          <w:i/>
          <w:sz w:val="22"/>
          <w:szCs w:val="22"/>
        </w:rPr>
        <w:t xml:space="preserve"> load </w:t>
      </w:r>
      <w:r w:rsidR="00D75FD4" w:rsidRPr="00D75FD4">
        <w:rPr>
          <w:i/>
          <w:sz w:val="22"/>
          <w:szCs w:val="22"/>
        </w:rPr>
        <w:t>at 59°F</w:t>
      </w:r>
      <w:r>
        <w:rPr>
          <w:i/>
          <w:sz w:val="22"/>
          <w:szCs w:val="22"/>
        </w:rPr>
        <w:t>.}</w:t>
      </w:r>
    </w:p>
    <w:p w:rsidR="00F1455E" w:rsidRDefault="00F1455E" w:rsidP="00F1455E">
      <w:pPr>
        <w:keepLines/>
        <w:spacing w:after="120"/>
        <w:rPr>
          <w:b/>
          <w:caps/>
          <w:color w:val="000000"/>
          <w:sz w:val="22"/>
          <w:szCs w:val="22"/>
        </w:rPr>
      </w:pPr>
      <w:bookmarkStart w:id="10" w:name="AuthorizedFuels"/>
      <w:bookmarkEnd w:id="10"/>
      <w:r>
        <w:rPr>
          <w:b/>
          <w:caps/>
          <w:color w:val="000000"/>
          <w:sz w:val="22"/>
          <w:szCs w:val="22"/>
        </w:rPr>
        <w:t>Emissions and Testing Requirements</w:t>
      </w:r>
    </w:p>
    <w:p w:rsidR="00F1455E" w:rsidRDefault="00F1455E" w:rsidP="0017609E">
      <w:pPr>
        <w:numPr>
          <w:ilvl w:val="0"/>
          <w:numId w:val="2"/>
        </w:numPr>
        <w:suppressAutoHyphens/>
        <w:spacing w:after="120"/>
        <w:rPr>
          <w:sz w:val="22"/>
          <w:szCs w:val="22"/>
        </w:rPr>
      </w:pPr>
      <w:bookmarkStart w:id="11" w:name="_Ref421786223"/>
      <w:bookmarkStart w:id="12" w:name="_Ref511649349"/>
      <w:r>
        <w:rPr>
          <w:color w:val="000000"/>
          <w:sz w:val="22"/>
          <w:szCs w:val="22"/>
          <w:u w:val="single"/>
        </w:rPr>
        <w:t>Emission Standards</w:t>
      </w:r>
      <w:bookmarkStart w:id="13" w:name="EmissionStandards"/>
      <w:bookmarkEnd w:id="13"/>
      <w:r>
        <w:rPr>
          <w:color w:val="000000"/>
          <w:sz w:val="22"/>
          <w:szCs w:val="22"/>
        </w:rPr>
        <w:t xml:space="preserve">: </w:t>
      </w:r>
      <w:r>
        <w:rPr>
          <w:caps/>
          <w:color w:val="000000"/>
          <w:sz w:val="22"/>
          <w:szCs w:val="22"/>
        </w:rPr>
        <w:t xml:space="preserve"> E</w:t>
      </w:r>
      <w:r>
        <w:rPr>
          <w:color w:val="000000"/>
          <w:sz w:val="22"/>
          <w:szCs w:val="22"/>
        </w:rPr>
        <w:t xml:space="preserve">missions from </w:t>
      </w:r>
      <w:r w:rsidR="009F57BE">
        <w:rPr>
          <w:color w:val="000000"/>
          <w:sz w:val="22"/>
          <w:szCs w:val="22"/>
        </w:rPr>
        <w:t>the</w:t>
      </w:r>
      <w:r w:rsidR="00D837FB">
        <w:rPr>
          <w:color w:val="000000"/>
          <w:sz w:val="22"/>
          <w:szCs w:val="22"/>
        </w:rPr>
        <w:t xml:space="preserve"> CTG</w:t>
      </w:r>
      <w:r>
        <w:rPr>
          <w:color w:val="000000"/>
          <w:sz w:val="22"/>
          <w:szCs w:val="22"/>
        </w:rPr>
        <w:t>/HRSG shall not exceed the following standards</w:t>
      </w:r>
      <w:bookmarkEnd w:id="11"/>
      <w:r>
        <w:rPr>
          <w:color w:val="000000"/>
          <w:sz w:val="22"/>
          <w:szCs w:val="22"/>
        </w:rPr>
        <w:t>:</w:t>
      </w:r>
      <w:bookmarkEnd w:id="12"/>
    </w:p>
    <w:tbl>
      <w:tblPr>
        <w:tblW w:w="9739" w:type="dxa"/>
        <w:tblInd w:w="4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23"/>
        <w:gridCol w:w="2344"/>
        <w:gridCol w:w="1984"/>
        <w:gridCol w:w="2138"/>
        <w:gridCol w:w="1650"/>
      </w:tblGrid>
      <w:tr w:rsidR="00F1455E" w:rsidTr="00A64004">
        <w:trPr>
          <w:trHeight w:val="465"/>
          <w:tblHeader/>
        </w:trPr>
        <w:tc>
          <w:tcPr>
            <w:tcW w:w="1623" w:type="dxa"/>
            <w:tcBorders>
              <w:top w:val="single" w:sz="12" w:space="0" w:color="auto"/>
              <w:left w:val="single" w:sz="12" w:space="0" w:color="auto"/>
              <w:bottom w:val="single" w:sz="12" w:space="0" w:color="auto"/>
              <w:right w:val="single" w:sz="12" w:space="0" w:color="auto"/>
            </w:tcBorders>
            <w:shd w:val="clear" w:color="auto" w:fill="B8CCE4"/>
            <w:vAlign w:val="center"/>
            <w:hideMark/>
          </w:tcPr>
          <w:p w:rsidR="00F1455E" w:rsidRDefault="00F1455E">
            <w:pPr>
              <w:keepNext/>
              <w:keepLines/>
              <w:spacing w:before="20" w:after="20"/>
              <w:jc w:val="center"/>
              <w:rPr>
                <w:b/>
              </w:rPr>
            </w:pPr>
            <w:bookmarkStart w:id="14" w:name="_Hlk511128779"/>
            <w:r>
              <w:br w:type="page"/>
            </w:r>
            <w:r>
              <w:rPr>
                <w:b/>
              </w:rPr>
              <w:t>Pollutant</w:t>
            </w:r>
          </w:p>
        </w:tc>
        <w:tc>
          <w:tcPr>
            <w:tcW w:w="2344" w:type="dxa"/>
            <w:tcBorders>
              <w:top w:val="single" w:sz="12" w:space="0" w:color="auto"/>
              <w:left w:val="single" w:sz="12" w:space="0" w:color="auto"/>
              <w:bottom w:val="single" w:sz="12" w:space="0" w:color="auto"/>
              <w:right w:val="single" w:sz="12" w:space="0" w:color="auto"/>
            </w:tcBorders>
            <w:shd w:val="clear" w:color="auto" w:fill="B8CCE4"/>
            <w:vAlign w:val="center"/>
            <w:hideMark/>
          </w:tcPr>
          <w:p w:rsidR="00F1455E" w:rsidRDefault="00F1455E">
            <w:pPr>
              <w:keepNext/>
              <w:keepLines/>
              <w:spacing w:before="20" w:after="20"/>
              <w:jc w:val="center"/>
              <w:rPr>
                <w:b/>
                <w:vertAlign w:val="superscript"/>
              </w:rPr>
            </w:pPr>
            <w:r>
              <w:rPr>
                <w:b/>
              </w:rPr>
              <w:t>Emission Standard</w:t>
            </w:r>
            <w:r>
              <w:t xml:space="preserve"> </w:t>
            </w:r>
            <w:r>
              <w:rPr>
                <w:b/>
                <w:sz w:val="24"/>
                <w:szCs w:val="24"/>
                <w:vertAlign w:val="superscript"/>
              </w:rPr>
              <w:t>a</w:t>
            </w:r>
          </w:p>
        </w:tc>
        <w:tc>
          <w:tcPr>
            <w:tcW w:w="1984" w:type="dxa"/>
            <w:tcBorders>
              <w:top w:val="single" w:sz="12" w:space="0" w:color="auto"/>
              <w:left w:val="single" w:sz="12" w:space="0" w:color="auto"/>
              <w:bottom w:val="single" w:sz="12" w:space="0" w:color="auto"/>
              <w:right w:val="single" w:sz="12" w:space="0" w:color="auto"/>
            </w:tcBorders>
            <w:shd w:val="clear" w:color="auto" w:fill="B8CCE4"/>
            <w:vAlign w:val="center"/>
            <w:hideMark/>
          </w:tcPr>
          <w:p w:rsidR="00F1455E" w:rsidRDefault="00F1455E">
            <w:pPr>
              <w:pStyle w:val="EndnoteText"/>
              <w:keepNext/>
              <w:keepLines/>
              <w:tabs>
                <w:tab w:val="decimal" w:pos="-18"/>
              </w:tabs>
              <w:spacing w:before="20" w:after="20"/>
              <w:jc w:val="center"/>
              <w:rPr>
                <w:b/>
              </w:rPr>
            </w:pPr>
            <w:r>
              <w:rPr>
                <w:b/>
              </w:rPr>
              <w:t>Basis</w:t>
            </w:r>
          </w:p>
        </w:tc>
        <w:tc>
          <w:tcPr>
            <w:tcW w:w="2138" w:type="dxa"/>
            <w:tcBorders>
              <w:top w:val="single" w:sz="12" w:space="0" w:color="auto"/>
              <w:left w:val="single" w:sz="12" w:space="0" w:color="auto"/>
              <w:bottom w:val="single" w:sz="12" w:space="0" w:color="auto"/>
              <w:right w:val="single" w:sz="12" w:space="0" w:color="auto"/>
            </w:tcBorders>
            <w:shd w:val="clear" w:color="auto" w:fill="B8CCE4"/>
            <w:vAlign w:val="center"/>
            <w:hideMark/>
          </w:tcPr>
          <w:p w:rsidR="00F1455E" w:rsidRDefault="00F1455E">
            <w:pPr>
              <w:pStyle w:val="EndnoteText"/>
              <w:keepNext/>
              <w:keepLines/>
              <w:tabs>
                <w:tab w:val="decimal" w:pos="-18"/>
              </w:tabs>
              <w:spacing w:before="20" w:after="20"/>
              <w:jc w:val="center"/>
              <w:rPr>
                <w:b/>
              </w:rPr>
            </w:pPr>
            <w:r>
              <w:rPr>
                <w:b/>
              </w:rPr>
              <w:t>Compliance Method</w:t>
            </w:r>
            <w:r>
              <w:rPr>
                <w:b/>
                <w:sz w:val="24"/>
                <w:szCs w:val="24"/>
                <w:vertAlign w:val="superscript"/>
              </w:rPr>
              <w:t xml:space="preserve"> b</w:t>
            </w:r>
          </w:p>
        </w:tc>
        <w:tc>
          <w:tcPr>
            <w:tcW w:w="1650" w:type="dxa"/>
            <w:tcBorders>
              <w:top w:val="single" w:sz="12" w:space="0" w:color="auto"/>
              <w:left w:val="single" w:sz="12" w:space="0" w:color="auto"/>
              <w:bottom w:val="single" w:sz="12" w:space="0" w:color="auto"/>
              <w:right w:val="single" w:sz="12" w:space="0" w:color="auto"/>
            </w:tcBorders>
            <w:shd w:val="clear" w:color="auto" w:fill="B8CCE4"/>
            <w:vAlign w:val="center"/>
            <w:hideMark/>
          </w:tcPr>
          <w:p w:rsidR="00F1455E" w:rsidRDefault="00F1455E">
            <w:pPr>
              <w:keepNext/>
              <w:keepLines/>
              <w:spacing w:before="20" w:after="20"/>
              <w:jc w:val="center"/>
              <w:rPr>
                <w:b/>
              </w:rPr>
            </w:pPr>
            <w:r>
              <w:rPr>
                <w:b/>
              </w:rPr>
              <w:t>Averaging Time</w:t>
            </w:r>
          </w:p>
        </w:tc>
      </w:tr>
      <w:tr w:rsidR="002E521B" w:rsidTr="007E371B">
        <w:trPr>
          <w:trHeight w:val="690"/>
        </w:trPr>
        <w:tc>
          <w:tcPr>
            <w:tcW w:w="1623" w:type="dxa"/>
            <w:vMerge w:val="restart"/>
            <w:tcBorders>
              <w:top w:val="single" w:sz="12" w:space="0" w:color="auto"/>
              <w:left w:val="single" w:sz="12" w:space="0" w:color="auto"/>
              <w:right w:val="single" w:sz="12" w:space="0" w:color="auto"/>
            </w:tcBorders>
            <w:vAlign w:val="center"/>
            <w:hideMark/>
          </w:tcPr>
          <w:p w:rsidR="002E521B" w:rsidRDefault="002E521B">
            <w:pPr>
              <w:spacing w:before="20" w:after="20"/>
              <w:jc w:val="center"/>
            </w:pPr>
            <w:r>
              <w:t>NO</w:t>
            </w:r>
            <w:r>
              <w:rPr>
                <w:vertAlign w:val="subscript"/>
              </w:rPr>
              <w:t>X</w:t>
            </w:r>
          </w:p>
        </w:tc>
        <w:tc>
          <w:tcPr>
            <w:tcW w:w="2344" w:type="dxa"/>
            <w:tcBorders>
              <w:top w:val="single" w:sz="12" w:space="0" w:color="auto"/>
              <w:left w:val="single" w:sz="12" w:space="0" w:color="auto"/>
              <w:bottom w:val="single" w:sz="4" w:space="0" w:color="auto"/>
              <w:right w:val="single" w:sz="12" w:space="0" w:color="auto"/>
            </w:tcBorders>
            <w:vAlign w:val="center"/>
            <w:hideMark/>
          </w:tcPr>
          <w:p w:rsidR="002E521B" w:rsidRDefault="002E521B">
            <w:pPr>
              <w:keepNext/>
              <w:keepLines/>
              <w:spacing w:before="20" w:after="20"/>
              <w:ind w:left="-108"/>
              <w:jc w:val="center"/>
            </w:pPr>
            <w:r>
              <w:t xml:space="preserve">2.0 </w:t>
            </w:r>
            <w:proofErr w:type="spellStart"/>
            <w:r>
              <w:t>ppmvd</w:t>
            </w:r>
            <w:proofErr w:type="spellEnd"/>
            <w:r>
              <w:t xml:space="preserve"> @15% O</w:t>
            </w:r>
            <w:r>
              <w:rPr>
                <w:vertAlign w:val="subscript"/>
              </w:rPr>
              <w:t>2</w:t>
            </w:r>
          </w:p>
        </w:tc>
        <w:tc>
          <w:tcPr>
            <w:tcW w:w="1984" w:type="dxa"/>
            <w:tcBorders>
              <w:top w:val="single" w:sz="12" w:space="0" w:color="auto"/>
              <w:left w:val="single" w:sz="12" w:space="0" w:color="auto"/>
              <w:bottom w:val="single" w:sz="4" w:space="0" w:color="auto"/>
              <w:right w:val="single" w:sz="12" w:space="0" w:color="auto"/>
            </w:tcBorders>
            <w:vAlign w:val="center"/>
            <w:hideMark/>
          </w:tcPr>
          <w:p w:rsidR="002E521B" w:rsidRDefault="002E521B">
            <w:pPr>
              <w:keepNext/>
              <w:keepLines/>
              <w:spacing w:before="20" w:after="20"/>
              <w:ind w:left="-108"/>
              <w:jc w:val="center"/>
            </w:pPr>
            <w:r>
              <w:t>Primary BACT (Normal operating conditions)</w:t>
            </w:r>
          </w:p>
        </w:tc>
        <w:tc>
          <w:tcPr>
            <w:tcW w:w="2138" w:type="dxa"/>
            <w:vMerge w:val="restart"/>
            <w:tcBorders>
              <w:top w:val="single" w:sz="12" w:space="0" w:color="auto"/>
              <w:left w:val="single" w:sz="12" w:space="0" w:color="auto"/>
              <w:right w:val="single" w:sz="12" w:space="0" w:color="auto"/>
            </w:tcBorders>
            <w:vAlign w:val="center"/>
            <w:hideMark/>
          </w:tcPr>
          <w:p w:rsidR="002E521B" w:rsidRDefault="002E521B">
            <w:pPr>
              <w:keepNext/>
              <w:keepLines/>
              <w:spacing w:before="20" w:after="20"/>
              <w:ind w:left="-108"/>
              <w:jc w:val="center"/>
            </w:pPr>
            <w:r>
              <w:t>CEMS</w:t>
            </w:r>
          </w:p>
        </w:tc>
        <w:tc>
          <w:tcPr>
            <w:tcW w:w="1650" w:type="dxa"/>
            <w:tcBorders>
              <w:top w:val="single" w:sz="12" w:space="0" w:color="auto"/>
              <w:left w:val="single" w:sz="12" w:space="0" w:color="auto"/>
              <w:bottom w:val="dotted" w:sz="4" w:space="0" w:color="auto"/>
              <w:right w:val="single" w:sz="12" w:space="0" w:color="auto"/>
            </w:tcBorders>
            <w:vAlign w:val="center"/>
            <w:hideMark/>
          </w:tcPr>
          <w:p w:rsidR="002E521B" w:rsidRDefault="002E521B">
            <w:pPr>
              <w:keepNext/>
              <w:keepLines/>
              <w:tabs>
                <w:tab w:val="decimal" w:pos="-18"/>
              </w:tabs>
              <w:spacing w:before="20" w:after="20"/>
              <w:jc w:val="center"/>
            </w:pPr>
            <w:r>
              <w:t>24-hr block avg.</w:t>
            </w:r>
          </w:p>
        </w:tc>
      </w:tr>
      <w:tr w:rsidR="002E521B" w:rsidTr="00A64004">
        <w:trPr>
          <w:trHeight w:val="660"/>
        </w:trPr>
        <w:tc>
          <w:tcPr>
            <w:tcW w:w="1623" w:type="dxa"/>
            <w:vMerge/>
            <w:tcBorders>
              <w:left w:val="single" w:sz="12" w:space="0" w:color="auto"/>
              <w:right w:val="single" w:sz="12" w:space="0" w:color="auto"/>
            </w:tcBorders>
            <w:vAlign w:val="center"/>
            <w:hideMark/>
          </w:tcPr>
          <w:p w:rsidR="002E521B" w:rsidRDefault="002E521B"/>
        </w:tc>
        <w:tc>
          <w:tcPr>
            <w:tcW w:w="2344" w:type="dxa"/>
            <w:tcBorders>
              <w:top w:val="single" w:sz="4" w:space="0" w:color="auto"/>
              <w:left w:val="single" w:sz="12" w:space="0" w:color="auto"/>
              <w:bottom w:val="single" w:sz="4" w:space="0" w:color="auto"/>
              <w:right w:val="single" w:sz="12" w:space="0" w:color="auto"/>
            </w:tcBorders>
            <w:hideMark/>
          </w:tcPr>
          <w:p w:rsidR="002E521B" w:rsidRDefault="00DB32E6">
            <w:pPr>
              <w:keepNext/>
              <w:keepLines/>
              <w:spacing w:before="20" w:after="20"/>
              <w:ind w:left="-108"/>
              <w:jc w:val="center"/>
              <w:rPr>
                <w:vertAlign w:val="subscript"/>
              </w:rPr>
            </w:pPr>
            <w:r>
              <w:t>15</w:t>
            </w:r>
            <w:r w:rsidR="002E521B">
              <w:t xml:space="preserve"> </w:t>
            </w:r>
            <w:proofErr w:type="spellStart"/>
            <w:r w:rsidR="002E521B">
              <w:t>ppmvd</w:t>
            </w:r>
            <w:proofErr w:type="spellEnd"/>
            <w:r w:rsidR="002E521B">
              <w:t xml:space="preserve"> @15% O</w:t>
            </w:r>
            <w:r w:rsidR="002E521B">
              <w:rPr>
                <w:vertAlign w:val="subscript"/>
              </w:rPr>
              <w:t>2</w:t>
            </w:r>
          </w:p>
          <w:p w:rsidR="002E521B" w:rsidRDefault="002E521B">
            <w:pPr>
              <w:keepNext/>
              <w:keepLines/>
              <w:spacing w:before="20" w:after="20"/>
              <w:ind w:left="-108"/>
              <w:jc w:val="center"/>
            </w:pPr>
            <w:r>
              <w:t xml:space="preserve">(for turbine loads </w:t>
            </w:r>
            <w:r>
              <w:rPr>
                <w:sz w:val="24"/>
                <w:szCs w:val="24"/>
              </w:rPr>
              <w:t>≥</w:t>
            </w:r>
            <w:r>
              <w:t xml:space="preserve"> 75%)</w:t>
            </w:r>
          </w:p>
        </w:tc>
        <w:tc>
          <w:tcPr>
            <w:tcW w:w="1984" w:type="dxa"/>
            <w:vMerge w:val="restart"/>
            <w:tcBorders>
              <w:top w:val="single" w:sz="4" w:space="0" w:color="auto"/>
              <w:left w:val="single" w:sz="12" w:space="0" w:color="auto"/>
              <w:right w:val="single" w:sz="12" w:space="0" w:color="auto"/>
            </w:tcBorders>
            <w:vAlign w:val="center"/>
            <w:hideMark/>
          </w:tcPr>
          <w:p w:rsidR="002E521B" w:rsidRDefault="002E521B">
            <w:pPr>
              <w:keepNext/>
              <w:keepLines/>
              <w:spacing w:before="20" w:after="20"/>
              <w:ind w:left="-108"/>
              <w:jc w:val="center"/>
            </w:pPr>
            <w:r>
              <w:t xml:space="preserve">NSPS KKKK, Secondary BACT </w:t>
            </w:r>
            <w:r>
              <w:rPr>
                <w:vertAlign w:val="superscript"/>
              </w:rPr>
              <w:t>c</w:t>
            </w:r>
          </w:p>
        </w:tc>
        <w:tc>
          <w:tcPr>
            <w:tcW w:w="2138" w:type="dxa"/>
            <w:vMerge/>
            <w:tcBorders>
              <w:left w:val="single" w:sz="12" w:space="0" w:color="auto"/>
              <w:right w:val="single" w:sz="12" w:space="0" w:color="auto"/>
            </w:tcBorders>
            <w:vAlign w:val="center"/>
            <w:hideMark/>
          </w:tcPr>
          <w:p w:rsidR="002E521B" w:rsidRDefault="002E521B"/>
        </w:tc>
        <w:tc>
          <w:tcPr>
            <w:tcW w:w="1650" w:type="dxa"/>
            <w:vMerge w:val="restart"/>
            <w:tcBorders>
              <w:top w:val="dotted" w:sz="4" w:space="0" w:color="auto"/>
              <w:left w:val="single" w:sz="12" w:space="0" w:color="auto"/>
              <w:right w:val="single" w:sz="12" w:space="0" w:color="auto"/>
            </w:tcBorders>
            <w:vAlign w:val="center"/>
            <w:hideMark/>
          </w:tcPr>
          <w:p w:rsidR="002E521B" w:rsidRDefault="002E521B">
            <w:pPr>
              <w:keepNext/>
              <w:keepLines/>
              <w:tabs>
                <w:tab w:val="decimal" w:pos="-18"/>
              </w:tabs>
              <w:spacing w:before="20" w:after="20"/>
              <w:jc w:val="center"/>
            </w:pPr>
            <w:r>
              <w:t xml:space="preserve">30-operating-day rolling avg. </w:t>
            </w:r>
            <w:r>
              <w:rPr>
                <w:vertAlign w:val="superscript"/>
              </w:rPr>
              <w:t>d</w:t>
            </w:r>
          </w:p>
        </w:tc>
      </w:tr>
      <w:tr w:rsidR="002E521B" w:rsidTr="007E371B">
        <w:trPr>
          <w:trHeight w:val="750"/>
        </w:trPr>
        <w:tc>
          <w:tcPr>
            <w:tcW w:w="1623" w:type="dxa"/>
            <w:vMerge/>
            <w:tcBorders>
              <w:left w:val="single" w:sz="12" w:space="0" w:color="auto"/>
              <w:bottom w:val="single" w:sz="12" w:space="0" w:color="auto"/>
              <w:right w:val="single" w:sz="12" w:space="0" w:color="auto"/>
            </w:tcBorders>
            <w:vAlign w:val="center"/>
            <w:hideMark/>
          </w:tcPr>
          <w:p w:rsidR="002E521B" w:rsidRDefault="002E521B">
            <w:pPr>
              <w:spacing w:before="20" w:after="20"/>
              <w:jc w:val="center"/>
              <w:rPr>
                <w:u w:val="double"/>
              </w:rPr>
            </w:pPr>
          </w:p>
        </w:tc>
        <w:tc>
          <w:tcPr>
            <w:tcW w:w="2344" w:type="dxa"/>
            <w:tcBorders>
              <w:top w:val="single" w:sz="4" w:space="0" w:color="auto"/>
              <w:left w:val="single" w:sz="12" w:space="0" w:color="auto"/>
              <w:bottom w:val="single" w:sz="12" w:space="0" w:color="auto"/>
              <w:right w:val="single" w:sz="12" w:space="0" w:color="auto"/>
            </w:tcBorders>
            <w:vAlign w:val="center"/>
            <w:hideMark/>
          </w:tcPr>
          <w:p w:rsidR="002E521B" w:rsidRDefault="00DB32E6">
            <w:pPr>
              <w:spacing w:before="20" w:after="20"/>
              <w:ind w:left="-108"/>
              <w:jc w:val="center"/>
              <w:rPr>
                <w:vertAlign w:val="subscript"/>
              </w:rPr>
            </w:pPr>
            <w:r>
              <w:t>96</w:t>
            </w:r>
            <w:r w:rsidR="002E521B">
              <w:t xml:space="preserve"> </w:t>
            </w:r>
            <w:proofErr w:type="spellStart"/>
            <w:r w:rsidR="002E521B">
              <w:t>ppmvd</w:t>
            </w:r>
            <w:proofErr w:type="spellEnd"/>
            <w:r w:rsidR="002E521B">
              <w:t xml:space="preserve"> @15% O</w:t>
            </w:r>
            <w:r w:rsidR="002E521B">
              <w:rPr>
                <w:vertAlign w:val="subscript"/>
              </w:rPr>
              <w:t>2</w:t>
            </w:r>
          </w:p>
          <w:p w:rsidR="002E521B" w:rsidRDefault="002E521B">
            <w:pPr>
              <w:spacing w:before="20" w:after="20"/>
              <w:ind w:left="-108"/>
              <w:jc w:val="center"/>
              <w:rPr>
                <w:u w:val="double"/>
              </w:rPr>
            </w:pPr>
            <w:r>
              <w:t>(for turbine loads &lt; 75%)</w:t>
            </w:r>
          </w:p>
        </w:tc>
        <w:tc>
          <w:tcPr>
            <w:tcW w:w="1984" w:type="dxa"/>
            <w:vMerge/>
            <w:tcBorders>
              <w:left w:val="single" w:sz="12" w:space="0" w:color="auto"/>
              <w:bottom w:val="single" w:sz="12" w:space="0" w:color="auto"/>
              <w:right w:val="single" w:sz="12" w:space="0" w:color="auto"/>
            </w:tcBorders>
            <w:vAlign w:val="center"/>
            <w:hideMark/>
          </w:tcPr>
          <w:p w:rsidR="002E521B" w:rsidRDefault="002E521B">
            <w:pPr>
              <w:spacing w:before="20" w:after="20"/>
              <w:ind w:left="-108"/>
              <w:jc w:val="center"/>
              <w:rPr>
                <w:u w:val="double"/>
              </w:rPr>
            </w:pPr>
          </w:p>
        </w:tc>
        <w:tc>
          <w:tcPr>
            <w:tcW w:w="2138" w:type="dxa"/>
            <w:vMerge/>
            <w:tcBorders>
              <w:left w:val="single" w:sz="12" w:space="0" w:color="auto"/>
              <w:bottom w:val="single" w:sz="12" w:space="0" w:color="auto"/>
              <w:right w:val="single" w:sz="12" w:space="0" w:color="auto"/>
            </w:tcBorders>
            <w:vAlign w:val="center"/>
            <w:hideMark/>
          </w:tcPr>
          <w:p w:rsidR="002E521B" w:rsidRDefault="002E521B"/>
        </w:tc>
        <w:tc>
          <w:tcPr>
            <w:tcW w:w="1650" w:type="dxa"/>
            <w:vMerge/>
            <w:tcBorders>
              <w:left w:val="single" w:sz="12" w:space="0" w:color="auto"/>
              <w:bottom w:val="single" w:sz="12" w:space="0" w:color="auto"/>
              <w:right w:val="single" w:sz="12" w:space="0" w:color="auto"/>
            </w:tcBorders>
            <w:vAlign w:val="center"/>
          </w:tcPr>
          <w:p w:rsidR="002E521B" w:rsidRDefault="002E521B">
            <w:pPr>
              <w:tabs>
                <w:tab w:val="decimal" w:pos="-18"/>
              </w:tabs>
              <w:spacing w:before="20" w:after="20"/>
              <w:jc w:val="center"/>
              <w:rPr>
                <w:u w:val="double"/>
              </w:rPr>
            </w:pPr>
          </w:p>
        </w:tc>
      </w:tr>
      <w:tr w:rsidR="00CD01FA" w:rsidTr="007E371B">
        <w:trPr>
          <w:trHeight w:val="690"/>
        </w:trPr>
        <w:tc>
          <w:tcPr>
            <w:tcW w:w="1623" w:type="dxa"/>
            <w:vMerge w:val="restart"/>
            <w:tcBorders>
              <w:top w:val="single" w:sz="12" w:space="0" w:color="auto"/>
              <w:left w:val="single" w:sz="12" w:space="0" w:color="auto"/>
              <w:right w:val="single" w:sz="12" w:space="0" w:color="auto"/>
            </w:tcBorders>
            <w:vAlign w:val="center"/>
            <w:hideMark/>
          </w:tcPr>
          <w:p w:rsidR="00CD01FA" w:rsidRDefault="00CD01FA">
            <w:pPr>
              <w:spacing w:before="20" w:after="20"/>
              <w:jc w:val="center"/>
            </w:pPr>
            <w:r>
              <w:t>CO</w:t>
            </w:r>
          </w:p>
        </w:tc>
        <w:tc>
          <w:tcPr>
            <w:tcW w:w="2344" w:type="dxa"/>
            <w:tcBorders>
              <w:top w:val="single" w:sz="12" w:space="0" w:color="auto"/>
              <w:left w:val="single" w:sz="12" w:space="0" w:color="auto"/>
              <w:bottom w:val="dotted" w:sz="4" w:space="0" w:color="auto"/>
              <w:right w:val="single" w:sz="12" w:space="0" w:color="auto"/>
            </w:tcBorders>
            <w:vAlign w:val="center"/>
            <w:hideMark/>
          </w:tcPr>
          <w:p w:rsidR="00CD01FA" w:rsidRDefault="00CD01FA">
            <w:pPr>
              <w:spacing w:before="20" w:after="20"/>
              <w:ind w:left="-108"/>
              <w:jc w:val="center"/>
              <w:rPr>
                <w:vertAlign w:val="superscript"/>
              </w:rPr>
            </w:pPr>
            <w:r>
              <w:t xml:space="preserve">4.3 </w:t>
            </w:r>
            <w:proofErr w:type="spellStart"/>
            <w:r>
              <w:t>ppmvd</w:t>
            </w:r>
            <w:proofErr w:type="spellEnd"/>
            <w:r>
              <w:t xml:space="preserve"> @15% O</w:t>
            </w:r>
            <w:r>
              <w:rPr>
                <w:vertAlign w:val="subscript"/>
              </w:rPr>
              <w:t>2</w:t>
            </w:r>
            <w:r>
              <w:rPr>
                <w:vertAlign w:val="superscript"/>
              </w:rPr>
              <w:t xml:space="preserve"> </w:t>
            </w:r>
          </w:p>
          <w:p w:rsidR="00CD01FA" w:rsidRDefault="00CD01FA">
            <w:pPr>
              <w:spacing w:before="20" w:after="20"/>
              <w:ind w:left="-108"/>
              <w:jc w:val="center"/>
            </w:pPr>
            <w:r>
              <w:t xml:space="preserve">(for turbine loads </w:t>
            </w:r>
            <w:r>
              <w:rPr>
                <w:sz w:val="24"/>
                <w:szCs w:val="24"/>
              </w:rPr>
              <w:t>≥</w:t>
            </w:r>
            <w:r>
              <w:t xml:space="preserve"> 90%)</w:t>
            </w:r>
          </w:p>
        </w:tc>
        <w:tc>
          <w:tcPr>
            <w:tcW w:w="1984" w:type="dxa"/>
            <w:vMerge w:val="restart"/>
            <w:tcBorders>
              <w:top w:val="single" w:sz="12" w:space="0" w:color="auto"/>
              <w:left w:val="single" w:sz="12" w:space="0" w:color="auto"/>
              <w:right w:val="single" w:sz="12" w:space="0" w:color="auto"/>
            </w:tcBorders>
            <w:vAlign w:val="center"/>
            <w:hideMark/>
          </w:tcPr>
          <w:p w:rsidR="00CD01FA" w:rsidRDefault="00CD01FA">
            <w:pPr>
              <w:spacing w:before="20" w:after="20"/>
              <w:jc w:val="center"/>
            </w:pPr>
            <w:r>
              <w:t>BACT</w:t>
            </w:r>
          </w:p>
        </w:tc>
        <w:tc>
          <w:tcPr>
            <w:tcW w:w="2138" w:type="dxa"/>
            <w:vMerge w:val="restart"/>
            <w:tcBorders>
              <w:top w:val="single" w:sz="12" w:space="0" w:color="auto"/>
              <w:left w:val="single" w:sz="12" w:space="0" w:color="auto"/>
              <w:right w:val="single" w:sz="12" w:space="0" w:color="auto"/>
            </w:tcBorders>
            <w:vAlign w:val="center"/>
            <w:hideMark/>
          </w:tcPr>
          <w:p w:rsidR="00CD01FA" w:rsidRDefault="00CD01FA">
            <w:pPr>
              <w:spacing w:before="20" w:after="20"/>
              <w:jc w:val="center"/>
            </w:pPr>
            <w:r>
              <w:t>Initial and annual stack tests</w:t>
            </w:r>
          </w:p>
        </w:tc>
        <w:tc>
          <w:tcPr>
            <w:tcW w:w="1650" w:type="dxa"/>
            <w:vMerge w:val="restart"/>
            <w:tcBorders>
              <w:top w:val="single" w:sz="12" w:space="0" w:color="auto"/>
              <w:left w:val="single" w:sz="12" w:space="0" w:color="auto"/>
              <w:right w:val="single" w:sz="12" w:space="0" w:color="auto"/>
            </w:tcBorders>
            <w:vAlign w:val="center"/>
            <w:hideMark/>
          </w:tcPr>
          <w:p w:rsidR="00CD01FA" w:rsidRDefault="00CD01FA">
            <w:pPr>
              <w:spacing w:before="20" w:after="20"/>
              <w:jc w:val="center"/>
            </w:pPr>
            <w:r>
              <w:t>Three 1-hr runs</w:t>
            </w:r>
          </w:p>
        </w:tc>
      </w:tr>
      <w:tr w:rsidR="00CD01FA" w:rsidTr="007E371B">
        <w:trPr>
          <w:trHeight w:val="615"/>
        </w:trPr>
        <w:tc>
          <w:tcPr>
            <w:tcW w:w="1623" w:type="dxa"/>
            <w:vMerge/>
            <w:tcBorders>
              <w:left w:val="single" w:sz="12" w:space="0" w:color="auto"/>
              <w:right w:val="single" w:sz="12" w:space="0" w:color="auto"/>
            </w:tcBorders>
            <w:vAlign w:val="center"/>
            <w:hideMark/>
          </w:tcPr>
          <w:p w:rsidR="00CD01FA" w:rsidRDefault="00CD01FA"/>
        </w:tc>
        <w:tc>
          <w:tcPr>
            <w:tcW w:w="2344" w:type="dxa"/>
            <w:tcBorders>
              <w:top w:val="single" w:sz="6" w:space="0" w:color="auto"/>
              <w:left w:val="single" w:sz="12" w:space="0" w:color="auto"/>
              <w:bottom w:val="single" w:sz="4" w:space="0" w:color="auto"/>
              <w:right w:val="single" w:sz="12" w:space="0" w:color="auto"/>
            </w:tcBorders>
            <w:vAlign w:val="center"/>
            <w:hideMark/>
          </w:tcPr>
          <w:p w:rsidR="00CD01FA" w:rsidRDefault="00CD01FA">
            <w:pPr>
              <w:spacing w:before="20" w:after="20"/>
              <w:ind w:left="-108"/>
              <w:jc w:val="center"/>
              <w:rPr>
                <w:vertAlign w:val="superscript"/>
              </w:rPr>
            </w:pPr>
            <w:r>
              <w:t xml:space="preserve">7.1 </w:t>
            </w:r>
            <w:proofErr w:type="spellStart"/>
            <w:r>
              <w:t>ppmvd</w:t>
            </w:r>
            <w:proofErr w:type="spellEnd"/>
            <w:r>
              <w:t xml:space="preserve"> @15% O</w:t>
            </w:r>
            <w:r>
              <w:rPr>
                <w:vertAlign w:val="subscript"/>
              </w:rPr>
              <w:t>2</w:t>
            </w:r>
            <w:r>
              <w:rPr>
                <w:vertAlign w:val="superscript"/>
              </w:rPr>
              <w:t xml:space="preserve"> </w:t>
            </w:r>
          </w:p>
          <w:p w:rsidR="00CD01FA" w:rsidRDefault="00CD01FA">
            <w:pPr>
              <w:spacing w:before="20" w:after="20"/>
              <w:ind w:left="-108"/>
              <w:jc w:val="center"/>
            </w:pPr>
            <w:r>
              <w:t xml:space="preserve">(for turbine loads </w:t>
            </w:r>
            <w:r>
              <w:rPr>
                <w:sz w:val="24"/>
                <w:szCs w:val="24"/>
              </w:rPr>
              <w:t>&lt;</w:t>
            </w:r>
            <w:r>
              <w:t xml:space="preserve"> 90%)</w:t>
            </w:r>
          </w:p>
        </w:tc>
        <w:tc>
          <w:tcPr>
            <w:tcW w:w="1984" w:type="dxa"/>
            <w:vMerge/>
            <w:tcBorders>
              <w:left w:val="single" w:sz="12" w:space="0" w:color="auto"/>
              <w:right w:val="single" w:sz="12" w:space="0" w:color="auto"/>
            </w:tcBorders>
            <w:vAlign w:val="center"/>
            <w:hideMark/>
          </w:tcPr>
          <w:p w:rsidR="00CD01FA" w:rsidRDefault="00CD01FA"/>
        </w:tc>
        <w:tc>
          <w:tcPr>
            <w:tcW w:w="2138" w:type="dxa"/>
            <w:vMerge/>
            <w:tcBorders>
              <w:left w:val="single" w:sz="12" w:space="0" w:color="auto"/>
              <w:right w:val="single" w:sz="12" w:space="0" w:color="auto"/>
            </w:tcBorders>
            <w:vAlign w:val="center"/>
            <w:hideMark/>
          </w:tcPr>
          <w:p w:rsidR="00CD01FA" w:rsidRDefault="00CD01FA"/>
        </w:tc>
        <w:tc>
          <w:tcPr>
            <w:tcW w:w="1650" w:type="dxa"/>
            <w:vMerge/>
            <w:tcBorders>
              <w:left w:val="single" w:sz="12" w:space="0" w:color="auto"/>
              <w:right w:val="single" w:sz="12" w:space="0" w:color="auto"/>
            </w:tcBorders>
            <w:vAlign w:val="center"/>
            <w:hideMark/>
          </w:tcPr>
          <w:p w:rsidR="00CD01FA" w:rsidRDefault="00CD01FA"/>
        </w:tc>
      </w:tr>
      <w:tr w:rsidR="00CD01FA" w:rsidTr="007E371B">
        <w:trPr>
          <w:trHeight w:val="795"/>
        </w:trPr>
        <w:tc>
          <w:tcPr>
            <w:tcW w:w="1623" w:type="dxa"/>
            <w:vMerge/>
            <w:tcBorders>
              <w:left w:val="single" w:sz="12" w:space="0" w:color="auto"/>
              <w:bottom w:val="single" w:sz="12" w:space="0" w:color="auto"/>
              <w:right w:val="single" w:sz="12" w:space="0" w:color="auto"/>
            </w:tcBorders>
            <w:vAlign w:val="center"/>
          </w:tcPr>
          <w:p w:rsidR="00CD01FA" w:rsidRDefault="00CD01FA"/>
        </w:tc>
        <w:tc>
          <w:tcPr>
            <w:tcW w:w="2344" w:type="dxa"/>
            <w:tcBorders>
              <w:top w:val="single" w:sz="4" w:space="0" w:color="auto"/>
              <w:left w:val="single" w:sz="12" w:space="0" w:color="auto"/>
              <w:bottom w:val="single" w:sz="12" w:space="0" w:color="auto"/>
              <w:right w:val="single" w:sz="12" w:space="0" w:color="auto"/>
            </w:tcBorders>
            <w:vAlign w:val="center"/>
          </w:tcPr>
          <w:p w:rsidR="00CD01FA" w:rsidRPr="007F26EA" w:rsidRDefault="006833D7">
            <w:pPr>
              <w:spacing w:before="20" w:after="20"/>
              <w:ind w:left="-108"/>
              <w:jc w:val="center"/>
            </w:pPr>
            <w:r w:rsidRPr="007F26EA">
              <w:t xml:space="preserve">6.5 </w:t>
            </w:r>
            <w:proofErr w:type="spellStart"/>
            <w:r w:rsidRPr="007F26EA">
              <w:t>ppmvd</w:t>
            </w:r>
            <w:proofErr w:type="spellEnd"/>
            <w:r w:rsidRPr="007F26EA">
              <w:t xml:space="preserve"> @15% O</w:t>
            </w:r>
            <w:r w:rsidRPr="007F26EA">
              <w:rPr>
                <w:vertAlign w:val="subscript"/>
              </w:rPr>
              <w:t>2</w:t>
            </w:r>
          </w:p>
          <w:p w:rsidR="006833D7" w:rsidRPr="001E2C06" w:rsidRDefault="006833D7">
            <w:pPr>
              <w:spacing w:before="20" w:after="20"/>
              <w:ind w:left="-108"/>
              <w:jc w:val="center"/>
              <w:rPr>
                <w:highlight w:val="yellow"/>
              </w:rPr>
            </w:pPr>
            <w:r w:rsidRPr="007F26EA">
              <w:t>(when duct firing)</w:t>
            </w:r>
          </w:p>
        </w:tc>
        <w:tc>
          <w:tcPr>
            <w:tcW w:w="1984" w:type="dxa"/>
            <w:vMerge/>
            <w:tcBorders>
              <w:left w:val="single" w:sz="12" w:space="0" w:color="auto"/>
              <w:bottom w:val="single" w:sz="12" w:space="0" w:color="auto"/>
              <w:right w:val="single" w:sz="12" w:space="0" w:color="auto"/>
            </w:tcBorders>
            <w:vAlign w:val="center"/>
          </w:tcPr>
          <w:p w:rsidR="00CD01FA" w:rsidRDefault="00CD01FA"/>
        </w:tc>
        <w:tc>
          <w:tcPr>
            <w:tcW w:w="2138" w:type="dxa"/>
            <w:vMerge/>
            <w:tcBorders>
              <w:left w:val="single" w:sz="12" w:space="0" w:color="auto"/>
              <w:bottom w:val="single" w:sz="12" w:space="0" w:color="auto"/>
              <w:right w:val="single" w:sz="12" w:space="0" w:color="auto"/>
            </w:tcBorders>
            <w:vAlign w:val="center"/>
          </w:tcPr>
          <w:p w:rsidR="00CD01FA" w:rsidRDefault="00CD01FA"/>
        </w:tc>
        <w:tc>
          <w:tcPr>
            <w:tcW w:w="1650" w:type="dxa"/>
            <w:vMerge/>
            <w:tcBorders>
              <w:left w:val="single" w:sz="12" w:space="0" w:color="auto"/>
              <w:bottom w:val="single" w:sz="12" w:space="0" w:color="auto"/>
              <w:right w:val="single" w:sz="12" w:space="0" w:color="auto"/>
            </w:tcBorders>
            <w:vAlign w:val="center"/>
          </w:tcPr>
          <w:p w:rsidR="00CD01FA" w:rsidRDefault="00CD01FA"/>
        </w:tc>
      </w:tr>
      <w:tr w:rsidR="00F1455E" w:rsidTr="00A64004">
        <w:trPr>
          <w:trHeight w:val="147"/>
        </w:trPr>
        <w:tc>
          <w:tcPr>
            <w:tcW w:w="1623" w:type="dxa"/>
            <w:vMerge w:val="restart"/>
            <w:tcBorders>
              <w:top w:val="single" w:sz="12" w:space="0" w:color="auto"/>
              <w:left w:val="single" w:sz="12" w:space="0" w:color="auto"/>
              <w:bottom w:val="single" w:sz="6" w:space="0" w:color="auto"/>
              <w:right w:val="single" w:sz="12" w:space="0" w:color="auto"/>
            </w:tcBorders>
            <w:vAlign w:val="center"/>
            <w:hideMark/>
          </w:tcPr>
          <w:p w:rsidR="00F1455E" w:rsidRDefault="00F1455E">
            <w:pPr>
              <w:spacing w:before="20" w:after="20"/>
              <w:ind w:left="-18"/>
              <w:jc w:val="center"/>
            </w:pPr>
            <w:r>
              <w:lastRenderedPageBreak/>
              <w:t>PM/PM</w:t>
            </w:r>
            <w:r>
              <w:rPr>
                <w:vertAlign w:val="subscript"/>
              </w:rPr>
              <w:t>10</w:t>
            </w:r>
            <w:r>
              <w:t>/PM</w:t>
            </w:r>
            <w:r>
              <w:rPr>
                <w:vertAlign w:val="subscript"/>
              </w:rPr>
              <w:t>2.5</w:t>
            </w:r>
            <w:r>
              <w:rPr>
                <w:sz w:val="24"/>
                <w:szCs w:val="24"/>
              </w:rPr>
              <w:t xml:space="preserve"> </w:t>
            </w:r>
            <w:r>
              <w:rPr>
                <w:sz w:val="24"/>
                <w:szCs w:val="24"/>
                <w:vertAlign w:val="superscript"/>
              </w:rPr>
              <w:t>e</w:t>
            </w:r>
          </w:p>
        </w:tc>
        <w:tc>
          <w:tcPr>
            <w:tcW w:w="2344" w:type="dxa"/>
            <w:tcBorders>
              <w:top w:val="single" w:sz="12" w:space="0" w:color="auto"/>
              <w:left w:val="single" w:sz="12" w:space="0" w:color="auto"/>
              <w:bottom w:val="single" w:sz="4" w:space="0" w:color="auto"/>
              <w:right w:val="single" w:sz="12" w:space="0" w:color="auto"/>
            </w:tcBorders>
            <w:hideMark/>
          </w:tcPr>
          <w:p w:rsidR="00F1455E" w:rsidRDefault="00F1455E">
            <w:pPr>
              <w:pStyle w:val="EndnoteText"/>
              <w:spacing w:before="20" w:after="20"/>
              <w:ind w:left="-18"/>
              <w:jc w:val="center"/>
              <w:rPr>
                <w:vertAlign w:val="superscript"/>
              </w:rPr>
            </w:pPr>
            <w:r>
              <w:rPr>
                <w:color w:val="000000"/>
              </w:rPr>
              <w:t>2.0 gr. sulfur/100 SCF natural gas</w:t>
            </w:r>
          </w:p>
        </w:tc>
        <w:tc>
          <w:tcPr>
            <w:tcW w:w="1984" w:type="dxa"/>
            <w:vMerge w:val="restart"/>
            <w:tcBorders>
              <w:top w:val="single" w:sz="12" w:space="0" w:color="auto"/>
              <w:left w:val="single" w:sz="12" w:space="0" w:color="auto"/>
              <w:bottom w:val="single" w:sz="6" w:space="0" w:color="auto"/>
              <w:right w:val="single" w:sz="12" w:space="0" w:color="auto"/>
            </w:tcBorders>
            <w:vAlign w:val="center"/>
            <w:hideMark/>
          </w:tcPr>
          <w:p w:rsidR="00F1455E" w:rsidRDefault="00F1455E">
            <w:pPr>
              <w:pStyle w:val="Caption"/>
              <w:spacing w:before="20" w:after="20"/>
              <w:ind w:left="-108"/>
              <w:jc w:val="center"/>
              <w:rPr>
                <w:b w:val="0"/>
                <w:caps w:val="0"/>
                <w:sz w:val="20"/>
              </w:rPr>
            </w:pPr>
            <w:r>
              <w:rPr>
                <w:b w:val="0"/>
              </w:rPr>
              <w:t>BACT</w:t>
            </w:r>
          </w:p>
        </w:tc>
        <w:tc>
          <w:tcPr>
            <w:tcW w:w="2138" w:type="dxa"/>
            <w:tcBorders>
              <w:top w:val="single" w:sz="12" w:space="0" w:color="auto"/>
              <w:left w:val="single" w:sz="12" w:space="0" w:color="auto"/>
              <w:bottom w:val="dotted" w:sz="4" w:space="0" w:color="auto"/>
              <w:right w:val="single" w:sz="12" w:space="0" w:color="auto"/>
            </w:tcBorders>
            <w:vAlign w:val="center"/>
            <w:hideMark/>
          </w:tcPr>
          <w:p w:rsidR="00F1455E" w:rsidRDefault="00F1455E">
            <w:pPr>
              <w:pStyle w:val="Caption"/>
              <w:spacing w:before="20" w:after="20"/>
              <w:ind w:left="-108"/>
              <w:jc w:val="center"/>
              <w:rPr>
                <w:b w:val="0"/>
                <w:caps w:val="0"/>
                <w:sz w:val="20"/>
              </w:rPr>
            </w:pPr>
            <w:r>
              <w:rPr>
                <w:b w:val="0"/>
                <w:caps w:val="0"/>
                <w:sz w:val="20"/>
              </w:rPr>
              <w:t>Fuel Record Keeping</w:t>
            </w:r>
          </w:p>
        </w:tc>
        <w:tc>
          <w:tcPr>
            <w:tcW w:w="1650" w:type="dxa"/>
            <w:tcBorders>
              <w:top w:val="single" w:sz="12" w:space="0" w:color="auto"/>
              <w:left w:val="single" w:sz="12" w:space="0" w:color="auto"/>
              <w:bottom w:val="dotted" w:sz="4" w:space="0" w:color="auto"/>
              <w:right w:val="single" w:sz="12" w:space="0" w:color="auto"/>
            </w:tcBorders>
            <w:vAlign w:val="center"/>
            <w:hideMark/>
          </w:tcPr>
          <w:p w:rsidR="00F1455E" w:rsidRDefault="00F1455E">
            <w:pPr>
              <w:pStyle w:val="EndnoteText"/>
              <w:tabs>
                <w:tab w:val="decimal" w:pos="-18"/>
              </w:tabs>
              <w:spacing w:before="20" w:after="20"/>
              <w:jc w:val="center"/>
            </w:pPr>
            <w:r>
              <w:t>N/A</w:t>
            </w:r>
          </w:p>
        </w:tc>
      </w:tr>
      <w:tr w:rsidR="00F1455E" w:rsidTr="00A64004">
        <w:trPr>
          <w:trHeight w:val="413"/>
        </w:trPr>
        <w:tc>
          <w:tcPr>
            <w:tcW w:w="1623" w:type="dxa"/>
            <w:vMerge/>
            <w:tcBorders>
              <w:top w:val="single" w:sz="6" w:space="0" w:color="auto"/>
              <w:left w:val="single" w:sz="12" w:space="0" w:color="auto"/>
              <w:bottom w:val="single" w:sz="12" w:space="0" w:color="auto"/>
              <w:right w:val="single" w:sz="12" w:space="0" w:color="auto"/>
            </w:tcBorders>
            <w:vAlign w:val="center"/>
            <w:hideMark/>
          </w:tcPr>
          <w:p w:rsidR="00F1455E" w:rsidRDefault="00F1455E"/>
        </w:tc>
        <w:tc>
          <w:tcPr>
            <w:tcW w:w="2344" w:type="dxa"/>
            <w:tcBorders>
              <w:top w:val="single" w:sz="4" w:space="0" w:color="auto"/>
              <w:left w:val="single" w:sz="12" w:space="0" w:color="auto"/>
              <w:bottom w:val="single" w:sz="12" w:space="0" w:color="auto"/>
              <w:right w:val="single" w:sz="12" w:space="0" w:color="auto"/>
            </w:tcBorders>
            <w:vAlign w:val="center"/>
            <w:hideMark/>
          </w:tcPr>
          <w:p w:rsidR="00F1455E" w:rsidRDefault="00F1455E">
            <w:pPr>
              <w:pStyle w:val="EndnoteText"/>
              <w:spacing w:before="20" w:after="20"/>
              <w:ind w:left="-108"/>
              <w:jc w:val="center"/>
            </w:pPr>
            <w:r>
              <w:t>10 percent opacity</w:t>
            </w:r>
            <w:r w:rsidR="008751C5">
              <w:br/>
              <w:t>(Visible Emissions)</w:t>
            </w:r>
          </w:p>
        </w:tc>
        <w:tc>
          <w:tcPr>
            <w:tcW w:w="1984" w:type="dxa"/>
            <w:vMerge/>
            <w:tcBorders>
              <w:top w:val="single" w:sz="6" w:space="0" w:color="auto"/>
              <w:left w:val="single" w:sz="12" w:space="0" w:color="auto"/>
              <w:bottom w:val="single" w:sz="12" w:space="0" w:color="auto"/>
              <w:right w:val="single" w:sz="12" w:space="0" w:color="auto"/>
            </w:tcBorders>
            <w:vAlign w:val="center"/>
            <w:hideMark/>
          </w:tcPr>
          <w:p w:rsidR="00F1455E" w:rsidRDefault="00F1455E"/>
        </w:tc>
        <w:tc>
          <w:tcPr>
            <w:tcW w:w="2138" w:type="dxa"/>
            <w:tcBorders>
              <w:top w:val="dotted" w:sz="4" w:space="0" w:color="auto"/>
              <w:left w:val="single" w:sz="12" w:space="0" w:color="auto"/>
              <w:bottom w:val="single" w:sz="12" w:space="0" w:color="auto"/>
              <w:right w:val="single" w:sz="12" w:space="0" w:color="auto"/>
            </w:tcBorders>
            <w:vAlign w:val="center"/>
            <w:hideMark/>
          </w:tcPr>
          <w:p w:rsidR="00F1455E" w:rsidRDefault="00F1455E">
            <w:pPr>
              <w:pStyle w:val="Caption"/>
              <w:spacing w:before="20" w:after="20"/>
              <w:ind w:left="-108"/>
              <w:jc w:val="center"/>
              <w:rPr>
                <w:b w:val="0"/>
                <w:caps w:val="0"/>
                <w:sz w:val="20"/>
              </w:rPr>
            </w:pPr>
            <w:r>
              <w:rPr>
                <w:b w:val="0"/>
                <w:caps w:val="0"/>
                <w:sz w:val="20"/>
              </w:rPr>
              <w:t xml:space="preserve">Annual </w:t>
            </w:r>
            <w:r w:rsidR="00B367B2">
              <w:rPr>
                <w:b w:val="0"/>
                <w:caps w:val="0"/>
                <w:sz w:val="20"/>
              </w:rPr>
              <w:t xml:space="preserve">Stack </w:t>
            </w:r>
            <w:r>
              <w:rPr>
                <w:b w:val="0"/>
                <w:caps w:val="0"/>
                <w:sz w:val="20"/>
              </w:rPr>
              <w:t>Test</w:t>
            </w:r>
            <w:r>
              <w:rPr>
                <w:b w:val="0"/>
                <w:caps w:val="0"/>
                <w:sz w:val="20"/>
                <w:vertAlign w:val="superscript"/>
              </w:rPr>
              <w:t xml:space="preserve"> </w:t>
            </w:r>
            <w:r>
              <w:rPr>
                <w:b w:val="0"/>
                <w:caps w:val="0"/>
                <w:sz w:val="24"/>
                <w:szCs w:val="24"/>
                <w:vertAlign w:val="superscript"/>
              </w:rPr>
              <w:t>f</w:t>
            </w:r>
          </w:p>
        </w:tc>
        <w:tc>
          <w:tcPr>
            <w:tcW w:w="1650" w:type="dxa"/>
            <w:tcBorders>
              <w:top w:val="dotted" w:sz="4" w:space="0" w:color="auto"/>
              <w:left w:val="single" w:sz="12" w:space="0" w:color="auto"/>
              <w:bottom w:val="single" w:sz="12" w:space="0" w:color="auto"/>
              <w:right w:val="single" w:sz="12" w:space="0" w:color="auto"/>
            </w:tcBorders>
            <w:vAlign w:val="center"/>
            <w:hideMark/>
          </w:tcPr>
          <w:p w:rsidR="00F1455E" w:rsidRDefault="00F1455E">
            <w:pPr>
              <w:pStyle w:val="EndnoteText"/>
              <w:tabs>
                <w:tab w:val="decimal" w:pos="-18"/>
              </w:tabs>
              <w:spacing w:before="20" w:after="20"/>
              <w:jc w:val="center"/>
            </w:pPr>
            <w:r>
              <w:t>6-minute block</w:t>
            </w:r>
          </w:p>
        </w:tc>
      </w:tr>
      <w:tr w:rsidR="00F1455E" w:rsidTr="00A64004">
        <w:trPr>
          <w:trHeight w:val="463"/>
        </w:trPr>
        <w:tc>
          <w:tcPr>
            <w:tcW w:w="1623" w:type="dxa"/>
            <w:tcBorders>
              <w:top w:val="single" w:sz="12" w:space="0" w:color="auto"/>
              <w:left w:val="single" w:sz="12" w:space="0" w:color="auto"/>
              <w:bottom w:val="single" w:sz="12" w:space="0" w:color="auto"/>
              <w:right w:val="single" w:sz="12" w:space="0" w:color="auto"/>
            </w:tcBorders>
            <w:vAlign w:val="center"/>
            <w:hideMark/>
          </w:tcPr>
          <w:p w:rsidR="00F1455E" w:rsidRDefault="00F1455E">
            <w:pPr>
              <w:suppressAutoHyphens/>
              <w:spacing w:before="20" w:after="20"/>
              <w:jc w:val="center"/>
            </w:pPr>
            <w:r>
              <w:t>SO</w:t>
            </w:r>
            <w:r>
              <w:rPr>
                <w:vertAlign w:val="subscript"/>
              </w:rPr>
              <w:t>2</w:t>
            </w:r>
            <w:r>
              <w:t xml:space="preserve"> and SAM</w:t>
            </w:r>
          </w:p>
        </w:tc>
        <w:tc>
          <w:tcPr>
            <w:tcW w:w="2344" w:type="dxa"/>
            <w:tcBorders>
              <w:top w:val="single" w:sz="12" w:space="0" w:color="auto"/>
              <w:left w:val="single" w:sz="12" w:space="0" w:color="auto"/>
              <w:bottom w:val="single" w:sz="12" w:space="0" w:color="auto"/>
              <w:right w:val="single" w:sz="12" w:space="0" w:color="auto"/>
            </w:tcBorders>
            <w:vAlign w:val="center"/>
            <w:hideMark/>
          </w:tcPr>
          <w:p w:rsidR="00F1455E" w:rsidRDefault="00F1455E">
            <w:pPr>
              <w:suppressAutoHyphens/>
              <w:spacing w:before="20" w:after="20"/>
              <w:ind w:left="-18"/>
              <w:jc w:val="center"/>
            </w:pPr>
            <w:r>
              <w:rPr>
                <w:color w:val="000000"/>
              </w:rPr>
              <w:t>2.0 gr. sulfur/100 SCF natural gas</w:t>
            </w:r>
          </w:p>
        </w:tc>
        <w:tc>
          <w:tcPr>
            <w:tcW w:w="1984" w:type="dxa"/>
            <w:tcBorders>
              <w:top w:val="single" w:sz="12" w:space="0" w:color="auto"/>
              <w:left w:val="single" w:sz="12" w:space="0" w:color="auto"/>
              <w:bottom w:val="single" w:sz="12" w:space="0" w:color="auto"/>
              <w:right w:val="single" w:sz="12" w:space="0" w:color="auto"/>
            </w:tcBorders>
            <w:vAlign w:val="center"/>
            <w:hideMark/>
          </w:tcPr>
          <w:p w:rsidR="00F1455E" w:rsidRDefault="00F1455E">
            <w:pPr>
              <w:pStyle w:val="Caption"/>
              <w:spacing w:before="20" w:after="20"/>
              <w:ind w:left="-108"/>
              <w:jc w:val="center"/>
              <w:rPr>
                <w:b w:val="0"/>
                <w:caps w:val="0"/>
                <w:sz w:val="20"/>
              </w:rPr>
            </w:pPr>
            <w:r>
              <w:rPr>
                <w:b w:val="0"/>
                <w:caps w:val="0"/>
                <w:sz w:val="20"/>
              </w:rPr>
              <w:t>BACT</w:t>
            </w:r>
          </w:p>
        </w:tc>
        <w:tc>
          <w:tcPr>
            <w:tcW w:w="2138" w:type="dxa"/>
            <w:tcBorders>
              <w:top w:val="single" w:sz="12" w:space="0" w:color="auto"/>
              <w:left w:val="single" w:sz="12" w:space="0" w:color="auto"/>
              <w:bottom w:val="single" w:sz="12" w:space="0" w:color="auto"/>
              <w:right w:val="single" w:sz="12" w:space="0" w:color="auto"/>
            </w:tcBorders>
            <w:vAlign w:val="center"/>
            <w:hideMark/>
          </w:tcPr>
          <w:p w:rsidR="00F1455E" w:rsidRDefault="00F1455E">
            <w:pPr>
              <w:suppressAutoHyphens/>
              <w:spacing w:before="20" w:after="20"/>
              <w:jc w:val="center"/>
            </w:pPr>
            <w:r>
              <w:t>Fuel Record Keeping</w:t>
            </w:r>
          </w:p>
        </w:tc>
        <w:tc>
          <w:tcPr>
            <w:tcW w:w="1650" w:type="dxa"/>
            <w:tcBorders>
              <w:top w:val="single" w:sz="12" w:space="0" w:color="auto"/>
              <w:left w:val="single" w:sz="12" w:space="0" w:color="auto"/>
              <w:bottom w:val="single" w:sz="12" w:space="0" w:color="auto"/>
              <w:right w:val="single" w:sz="12" w:space="0" w:color="auto"/>
            </w:tcBorders>
            <w:vAlign w:val="center"/>
            <w:hideMark/>
          </w:tcPr>
          <w:p w:rsidR="00F1455E" w:rsidRDefault="00F1455E">
            <w:pPr>
              <w:spacing w:before="20" w:after="20"/>
              <w:jc w:val="center"/>
            </w:pPr>
            <w:r>
              <w:t>N/A</w:t>
            </w:r>
          </w:p>
        </w:tc>
      </w:tr>
      <w:tr w:rsidR="002E521B" w:rsidTr="00CD01FA">
        <w:trPr>
          <w:trHeight w:val="428"/>
        </w:trPr>
        <w:tc>
          <w:tcPr>
            <w:tcW w:w="1623" w:type="dxa"/>
            <w:vMerge w:val="restart"/>
            <w:tcBorders>
              <w:top w:val="single" w:sz="12" w:space="0" w:color="auto"/>
              <w:left w:val="single" w:sz="12" w:space="0" w:color="auto"/>
              <w:right w:val="single" w:sz="12" w:space="0" w:color="auto"/>
            </w:tcBorders>
            <w:vAlign w:val="center"/>
            <w:hideMark/>
          </w:tcPr>
          <w:p w:rsidR="002E521B" w:rsidRDefault="002E521B">
            <w:pPr>
              <w:suppressAutoHyphens/>
              <w:spacing w:before="20" w:after="20"/>
              <w:jc w:val="center"/>
            </w:pPr>
            <w:r>
              <w:t>GHGs</w:t>
            </w:r>
          </w:p>
        </w:tc>
        <w:tc>
          <w:tcPr>
            <w:tcW w:w="2344" w:type="dxa"/>
            <w:tcBorders>
              <w:top w:val="single" w:sz="12" w:space="0" w:color="auto"/>
              <w:left w:val="single" w:sz="12" w:space="0" w:color="auto"/>
              <w:right w:val="single" w:sz="12" w:space="0" w:color="auto"/>
            </w:tcBorders>
            <w:vAlign w:val="center"/>
            <w:hideMark/>
          </w:tcPr>
          <w:p w:rsidR="002E521B" w:rsidRDefault="002E521B">
            <w:pPr>
              <w:suppressAutoHyphens/>
              <w:spacing w:before="20" w:after="20"/>
              <w:ind w:left="-18"/>
              <w:jc w:val="center"/>
              <w:rPr>
                <w:color w:val="000000"/>
              </w:rPr>
            </w:pPr>
            <w:r>
              <w:rPr>
                <w:color w:val="000000"/>
              </w:rPr>
              <w:t xml:space="preserve">875 </w:t>
            </w:r>
            <w:proofErr w:type="spellStart"/>
            <w:r>
              <w:rPr>
                <w:color w:val="000000"/>
              </w:rPr>
              <w:t>lb</w:t>
            </w:r>
            <w:proofErr w:type="spellEnd"/>
            <w:r>
              <w:rPr>
                <w:color w:val="000000"/>
              </w:rPr>
              <w:t>/MWh</w:t>
            </w:r>
          </w:p>
        </w:tc>
        <w:tc>
          <w:tcPr>
            <w:tcW w:w="1984" w:type="dxa"/>
            <w:tcBorders>
              <w:top w:val="single" w:sz="12" w:space="0" w:color="auto"/>
              <w:left w:val="single" w:sz="12" w:space="0" w:color="auto"/>
              <w:bottom w:val="single" w:sz="6" w:space="0" w:color="auto"/>
              <w:right w:val="single" w:sz="12" w:space="0" w:color="auto"/>
            </w:tcBorders>
            <w:vAlign w:val="center"/>
            <w:hideMark/>
          </w:tcPr>
          <w:p w:rsidR="002E521B" w:rsidRDefault="002E521B">
            <w:pPr>
              <w:pStyle w:val="Caption"/>
              <w:spacing w:before="20" w:after="20"/>
              <w:ind w:left="-108"/>
              <w:jc w:val="center"/>
              <w:rPr>
                <w:b w:val="0"/>
                <w:caps w:val="0"/>
                <w:sz w:val="20"/>
              </w:rPr>
            </w:pPr>
            <w:r>
              <w:rPr>
                <w:b w:val="0"/>
                <w:caps w:val="0"/>
                <w:sz w:val="20"/>
              </w:rPr>
              <w:t>Primary BACT</w:t>
            </w:r>
          </w:p>
        </w:tc>
        <w:tc>
          <w:tcPr>
            <w:tcW w:w="2138" w:type="dxa"/>
            <w:vMerge w:val="restart"/>
            <w:tcBorders>
              <w:top w:val="single" w:sz="12" w:space="0" w:color="auto"/>
              <w:left w:val="single" w:sz="12" w:space="0" w:color="auto"/>
              <w:bottom w:val="single" w:sz="6" w:space="0" w:color="auto"/>
              <w:right w:val="single" w:sz="12" w:space="0" w:color="auto"/>
            </w:tcBorders>
            <w:vAlign w:val="center"/>
            <w:hideMark/>
          </w:tcPr>
          <w:p w:rsidR="002E521B" w:rsidRDefault="002E521B">
            <w:pPr>
              <w:suppressAutoHyphens/>
              <w:spacing w:before="20" w:after="20"/>
              <w:jc w:val="center"/>
            </w:pPr>
            <w:r>
              <w:t>CEMS or fuel-use monitoring</w:t>
            </w:r>
            <w:r w:rsidR="003C6402">
              <w:t xml:space="preserve"> </w:t>
            </w:r>
            <w:r>
              <w:rPr>
                <w:vertAlign w:val="superscript"/>
              </w:rPr>
              <w:t>g</w:t>
            </w:r>
          </w:p>
          <w:p w:rsidR="002E521B" w:rsidRDefault="002E521B">
            <w:pPr>
              <w:suppressAutoHyphens/>
              <w:spacing w:before="20" w:after="20"/>
              <w:jc w:val="center"/>
            </w:pPr>
            <w:r>
              <w:t>(40 CFR 75)</w:t>
            </w:r>
          </w:p>
        </w:tc>
        <w:tc>
          <w:tcPr>
            <w:tcW w:w="1650" w:type="dxa"/>
            <w:vMerge w:val="restart"/>
            <w:tcBorders>
              <w:top w:val="single" w:sz="12" w:space="0" w:color="auto"/>
              <w:left w:val="single" w:sz="12" w:space="0" w:color="auto"/>
              <w:bottom w:val="single" w:sz="6" w:space="0" w:color="auto"/>
              <w:right w:val="single" w:sz="12" w:space="0" w:color="auto"/>
            </w:tcBorders>
            <w:vAlign w:val="center"/>
            <w:hideMark/>
          </w:tcPr>
          <w:p w:rsidR="002E521B" w:rsidRDefault="002E521B">
            <w:pPr>
              <w:spacing w:before="20" w:after="20"/>
              <w:jc w:val="center"/>
            </w:pPr>
            <w:r>
              <w:t>12-operating-month</w:t>
            </w:r>
          </w:p>
          <w:p w:rsidR="002E521B" w:rsidRDefault="002E521B">
            <w:pPr>
              <w:spacing w:before="20" w:after="20"/>
              <w:jc w:val="center"/>
            </w:pPr>
            <w:r>
              <w:t>rolling avg.</w:t>
            </w:r>
            <w:r w:rsidR="003C6402">
              <w:t xml:space="preserve"> </w:t>
            </w:r>
            <w:r>
              <w:rPr>
                <w:vertAlign w:val="superscript"/>
              </w:rPr>
              <w:t>h</w:t>
            </w:r>
          </w:p>
        </w:tc>
      </w:tr>
      <w:tr w:rsidR="002E521B" w:rsidTr="00CD01FA">
        <w:trPr>
          <w:trHeight w:val="272"/>
        </w:trPr>
        <w:tc>
          <w:tcPr>
            <w:tcW w:w="1623" w:type="dxa"/>
            <w:vMerge/>
            <w:tcBorders>
              <w:left w:val="single" w:sz="12" w:space="0" w:color="auto"/>
              <w:bottom w:val="single" w:sz="12" w:space="0" w:color="auto"/>
              <w:right w:val="single" w:sz="12" w:space="0" w:color="auto"/>
            </w:tcBorders>
            <w:vAlign w:val="center"/>
            <w:hideMark/>
          </w:tcPr>
          <w:p w:rsidR="002E521B" w:rsidRDefault="002E521B">
            <w:pPr>
              <w:suppressAutoHyphens/>
              <w:spacing w:before="20" w:after="20"/>
              <w:jc w:val="center"/>
            </w:pPr>
          </w:p>
        </w:tc>
        <w:tc>
          <w:tcPr>
            <w:tcW w:w="2344" w:type="dxa"/>
            <w:tcBorders>
              <w:top w:val="single" w:sz="4" w:space="0" w:color="auto"/>
              <w:left w:val="single" w:sz="12" w:space="0" w:color="auto"/>
              <w:bottom w:val="single" w:sz="12" w:space="0" w:color="auto"/>
              <w:right w:val="single" w:sz="12" w:space="0" w:color="auto"/>
            </w:tcBorders>
            <w:vAlign w:val="center"/>
            <w:hideMark/>
          </w:tcPr>
          <w:p w:rsidR="002E521B" w:rsidRDefault="002E521B">
            <w:pPr>
              <w:suppressAutoHyphens/>
              <w:spacing w:before="20" w:after="20"/>
              <w:ind w:left="-18"/>
              <w:jc w:val="center"/>
              <w:rPr>
                <w:color w:val="000000"/>
              </w:rPr>
            </w:pPr>
            <w:r>
              <w:rPr>
                <w:color w:val="000000"/>
              </w:rPr>
              <w:t xml:space="preserve">1,000 </w:t>
            </w:r>
            <w:proofErr w:type="spellStart"/>
            <w:r>
              <w:rPr>
                <w:color w:val="000000"/>
              </w:rPr>
              <w:t>lb</w:t>
            </w:r>
            <w:proofErr w:type="spellEnd"/>
            <w:r>
              <w:rPr>
                <w:color w:val="000000"/>
              </w:rPr>
              <w:t>/MWh</w:t>
            </w:r>
          </w:p>
        </w:tc>
        <w:tc>
          <w:tcPr>
            <w:tcW w:w="1984" w:type="dxa"/>
            <w:tcBorders>
              <w:top w:val="single" w:sz="6" w:space="0" w:color="auto"/>
              <w:left w:val="single" w:sz="12" w:space="0" w:color="auto"/>
              <w:bottom w:val="single" w:sz="12" w:space="0" w:color="auto"/>
              <w:right w:val="single" w:sz="12" w:space="0" w:color="auto"/>
            </w:tcBorders>
            <w:vAlign w:val="center"/>
            <w:hideMark/>
          </w:tcPr>
          <w:p w:rsidR="002E521B" w:rsidRDefault="002E521B">
            <w:pPr>
              <w:pStyle w:val="Caption"/>
              <w:spacing w:before="20" w:after="20"/>
              <w:ind w:left="-108"/>
              <w:jc w:val="center"/>
              <w:rPr>
                <w:b w:val="0"/>
                <w:caps w:val="0"/>
                <w:sz w:val="20"/>
              </w:rPr>
            </w:pPr>
            <w:r>
              <w:rPr>
                <w:b w:val="0"/>
                <w:caps w:val="0"/>
                <w:sz w:val="20"/>
              </w:rPr>
              <w:t>NSPS TTTT,</w:t>
            </w:r>
          </w:p>
          <w:p w:rsidR="002E521B" w:rsidRDefault="002E521B">
            <w:pPr>
              <w:jc w:val="center"/>
            </w:pPr>
            <w:r>
              <w:t>Secondary BACT</w:t>
            </w:r>
          </w:p>
        </w:tc>
        <w:tc>
          <w:tcPr>
            <w:tcW w:w="2138" w:type="dxa"/>
            <w:vMerge/>
            <w:tcBorders>
              <w:top w:val="single" w:sz="6" w:space="0" w:color="auto"/>
              <w:left w:val="single" w:sz="12" w:space="0" w:color="auto"/>
              <w:bottom w:val="single" w:sz="12" w:space="0" w:color="auto"/>
              <w:right w:val="single" w:sz="12" w:space="0" w:color="auto"/>
            </w:tcBorders>
            <w:vAlign w:val="center"/>
            <w:hideMark/>
          </w:tcPr>
          <w:p w:rsidR="002E521B" w:rsidRDefault="002E521B"/>
        </w:tc>
        <w:tc>
          <w:tcPr>
            <w:tcW w:w="1650" w:type="dxa"/>
            <w:vMerge/>
            <w:tcBorders>
              <w:top w:val="single" w:sz="6" w:space="0" w:color="auto"/>
              <w:left w:val="single" w:sz="12" w:space="0" w:color="auto"/>
              <w:bottom w:val="single" w:sz="12" w:space="0" w:color="auto"/>
              <w:right w:val="single" w:sz="12" w:space="0" w:color="auto"/>
            </w:tcBorders>
            <w:vAlign w:val="center"/>
            <w:hideMark/>
          </w:tcPr>
          <w:p w:rsidR="002E521B" w:rsidRDefault="002E521B"/>
        </w:tc>
      </w:tr>
      <w:tr w:rsidR="00F1455E" w:rsidTr="003F2A9C">
        <w:trPr>
          <w:trHeight w:val="250"/>
        </w:trPr>
        <w:tc>
          <w:tcPr>
            <w:tcW w:w="9739" w:type="dxa"/>
            <w:gridSpan w:val="5"/>
            <w:tcBorders>
              <w:top w:val="single" w:sz="12" w:space="0" w:color="auto"/>
              <w:left w:val="single" w:sz="12" w:space="0" w:color="auto"/>
              <w:bottom w:val="single" w:sz="12" w:space="0" w:color="auto"/>
              <w:right w:val="single" w:sz="12" w:space="0" w:color="auto"/>
            </w:tcBorders>
            <w:hideMark/>
          </w:tcPr>
          <w:p w:rsidR="00F1455E" w:rsidRDefault="00F1455E" w:rsidP="0017609E">
            <w:pPr>
              <w:numPr>
                <w:ilvl w:val="0"/>
                <w:numId w:val="15"/>
              </w:numPr>
              <w:tabs>
                <w:tab w:val="num" w:pos="252"/>
              </w:tabs>
              <w:suppressAutoHyphens/>
              <w:spacing w:before="20" w:after="20"/>
              <w:ind w:left="260" w:hanging="274"/>
              <w:rPr>
                <w:sz w:val="18"/>
                <w:szCs w:val="18"/>
              </w:rPr>
            </w:pPr>
            <w:r>
              <w:rPr>
                <w:sz w:val="18"/>
                <w:szCs w:val="18"/>
              </w:rPr>
              <w:t>NO</w:t>
            </w:r>
            <w:r>
              <w:rPr>
                <w:sz w:val="18"/>
                <w:szCs w:val="18"/>
                <w:vertAlign w:val="subscript"/>
              </w:rPr>
              <w:t>X</w:t>
            </w:r>
            <w:r w:rsidR="00BC3551">
              <w:rPr>
                <w:sz w:val="18"/>
                <w:szCs w:val="18"/>
              </w:rPr>
              <w:t xml:space="preserve"> and CO </w:t>
            </w:r>
            <w:r>
              <w:rPr>
                <w:sz w:val="18"/>
                <w:szCs w:val="18"/>
              </w:rPr>
              <w:t xml:space="preserve">concentration emission standards are expressed in parts per million by volume, dry, corrected to </w:t>
            </w:r>
            <w:r>
              <w:rPr>
                <w:sz w:val="18"/>
                <w:szCs w:val="18"/>
              </w:rPr>
              <w:br/>
              <w:t xml:space="preserve">15 percent oxygen, abbreviated as </w:t>
            </w:r>
            <w:proofErr w:type="spellStart"/>
            <w:r>
              <w:rPr>
                <w:sz w:val="18"/>
                <w:szCs w:val="18"/>
              </w:rPr>
              <w:t>ppmvd</w:t>
            </w:r>
            <w:proofErr w:type="spellEnd"/>
            <w:r>
              <w:rPr>
                <w:sz w:val="18"/>
                <w:szCs w:val="18"/>
              </w:rPr>
              <w:t xml:space="preserve"> @15% O</w:t>
            </w:r>
            <w:r>
              <w:rPr>
                <w:sz w:val="18"/>
                <w:szCs w:val="18"/>
                <w:vertAlign w:val="subscript"/>
              </w:rPr>
              <w:t>2</w:t>
            </w:r>
            <w:r>
              <w:rPr>
                <w:sz w:val="18"/>
                <w:szCs w:val="18"/>
              </w:rPr>
              <w:t>.</w:t>
            </w:r>
          </w:p>
          <w:p w:rsidR="00F1455E" w:rsidRDefault="00F1455E" w:rsidP="0017609E">
            <w:pPr>
              <w:numPr>
                <w:ilvl w:val="0"/>
                <w:numId w:val="15"/>
              </w:numPr>
              <w:tabs>
                <w:tab w:val="num" w:pos="252"/>
              </w:tabs>
              <w:suppressAutoHyphens/>
              <w:spacing w:before="20" w:after="20"/>
              <w:ind w:left="260" w:hanging="274"/>
              <w:rPr>
                <w:sz w:val="18"/>
                <w:szCs w:val="18"/>
              </w:rPr>
            </w:pPr>
            <w:r>
              <w:rPr>
                <w:sz w:val="18"/>
                <w:szCs w:val="18"/>
              </w:rPr>
              <w:t>CEMS means continuous emissions monitoring system.</w:t>
            </w:r>
          </w:p>
          <w:p w:rsidR="00F1455E" w:rsidRDefault="00F1455E" w:rsidP="0017609E">
            <w:pPr>
              <w:numPr>
                <w:ilvl w:val="0"/>
                <w:numId w:val="15"/>
              </w:numPr>
              <w:tabs>
                <w:tab w:val="num" w:pos="252"/>
              </w:tabs>
              <w:suppressAutoHyphens/>
              <w:spacing w:before="20" w:after="20"/>
              <w:ind w:left="260" w:hanging="274"/>
              <w:rPr>
                <w:sz w:val="18"/>
                <w:szCs w:val="18"/>
              </w:rPr>
            </w:pPr>
            <w:r>
              <w:rPr>
                <w:sz w:val="18"/>
                <w:szCs w:val="18"/>
              </w:rPr>
              <w:t xml:space="preserve">Secondary BACT emission limits are alternative emission limits for specified modes of operation, pursuant to </w:t>
            </w:r>
            <w:r>
              <w:rPr>
                <w:b/>
                <w:sz w:val="18"/>
                <w:szCs w:val="18"/>
              </w:rPr>
              <w:t xml:space="preserve">Specific </w:t>
            </w:r>
            <w:r w:rsidRPr="008876B4">
              <w:rPr>
                <w:b/>
                <w:sz w:val="18"/>
                <w:szCs w:val="18"/>
              </w:rPr>
              <w:t xml:space="preserve">Conditions </w:t>
            </w:r>
            <w:r w:rsidR="00C04884" w:rsidRPr="008876B4">
              <w:rPr>
                <w:b/>
                <w:sz w:val="18"/>
                <w:szCs w:val="18"/>
              </w:rPr>
              <w:fldChar w:fldCharType="begin"/>
            </w:r>
            <w:r w:rsidR="00C04884" w:rsidRPr="008876B4">
              <w:rPr>
                <w:b/>
                <w:sz w:val="18"/>
                <w:szCs w:val="18"/>
              </w:rPr>
              <w:instrText xml:space="preserve"> REF _Ref421786096 \r \h </w:instrText>
            </w:r>
            <w:r w:rsidR="008876B4">
              <w:rPr>
                <w:b/>
                <w:sz w:val="18"/>
                <w:szCs w:val="18"/>
              </w:rPr>
              <w:instrText xml:space="preserve"> \* MERGEFORMAT </w:instrText>
            </w:r>
            <w:r w:rsidR="00C04884" w:rsidRPr="008876B4">
              <w:rPr>
                <w:b/>
                <w:sz w:val="18"/>
                <w:szCs w:val="18"/>
              </w:rPr>
            </w:r>
            <w:r w:rsidR="00C04884" w:rsidRPr="008876B4">
              <w:rPr>
                <w:b/>
                <w:sz w:val="18"/>
                <w:szCs w:val="18"/>
              </w:rPr>
              <w:fldChar w:fldCharType="separate"/>
            </w:r>
            <w:r w:rsidR="006D04C9">
              <w:rPr>
                <w:b/>
                <w:sz w:val="18"/>
                <w:szCs w:val="18"/>
              </w:rPr>
              <w:t>17</w:t>
            </w:r>
            <w:r w:rsidR="00C04884" w:rsidRPr="008876B4">
              <w:rPr>
                <w:b/>
                <w:sz w:val="18"/>
                <w:szCs w:val="18"/>
              </w:rPr>
              <w:fldChar w:fldCharType="end"/>
            </w:r>
            <w:r w:rsidRPr="008876B4">
              <w:rPr>
                <w:b/>
                <w:sz w:val="18"/>
                <w:szCs w:val="18"/>
              </w:rPr>
              <w:t xml:space="preserve"> and</w:t>
            </w:r>
            <w:r w:rsidR="008876B4" w:rsidRPr="008876B4">
              <w:rPr>
                <w:b/>
                <w:sz w:val="18"/>
                <w:szCs w:val="18"/>
              </w:rPr>
              <w:t xml:space="preserve"> </w:t>
            </w:r>
            <w:r w:rsidR="00C04884" w:rsidRPr="008876B4">
              <w:rPr>
                <w:b/>
                <w:sz w:val="18"/>
                <w:szCs w:val="18"/>
              </w:rPr>
              <w:fldChar w:fldCharType="begin"/>
            </w:r>
            <w:r w:rsidR="00C04884" w:rsidRPr="008876B4">
              <w:rPr>
                <w:b/>
                <w:sz w:val="18"/>
                <w:szCs w:val="18"/>
              </w:rPr>
              <w:instrText xml:space="preserve"> REF _Ref421786121 \r \h </w:instrText>
            </w:r>
            <w:r w:rsidR="008876B4">
              <w:rPr>
                <w:b/>
                <w:sz w:val="18"/>
                <w:szCs w:val="18"/>
              </w:rPr>
              <w:instrText xml:space="preserve"> \* MERGEFORMAT </w:instrText>
            </w:r>
            <w:r w:rsidR="00C04884" w:rsidRPr="008876B4">
              <w:rPr>
                <w:b/>
                <w:sz w:val="18"/>
                <w:szCs w:val="18"/>
              </w:rPr>
            </w:r>
            <w:r w:rsidR="00C04884" w:rsidRPr="008876B4">
              <w:rPr>
                <w:b/>
                <w:sz w:val="18"/>
                <w:szCs w:val="18"/>
              </w:rPr>
              <w:fldChar w:fldCharType="separate"/>
            </w:r>
            <w:r w:rsidR="006D04C9">
              <w:rPr>
                <w:b/>
                <w:sz w:val="18"/>
                <w:szCs w:val="18"/>
              </w:rPr>
              <w:t>18</w:t>
            </w:r>
            <w:r w:rsidR="00C04884" w:rsidRPr="008876B4">
              <w:rPr>
                <w:b/>
                <w:sz w:val="18"/>
                <w:szCs w:val="18"/>
              </w:rPr>
              <w:fldChar w:fldCharType="end"/>
            </w:r>
            <w:r>
              <w:rPr>
                <w:sz w:val="18"/>
                <w:szCs w:val="18"/>
              </w:rPr>
              <w:t xml:space="preserve">.  </w:t>
            </w:r>
            <w:r>
              <w:rPr>
                <w:iCs/>
                <w:sz w:val="18"/>
                <w:szCs w:val="18"/>
              </w:rPr>
              <w:t>Demonstrating compliance with the NO</w:t>
            </w:r>
            <w:r>
              <w:rPr>
                <w:iCs/>
                <w:sz w:val="18"/>
                <w:szCs w:val="18"/>
                <w:vertAlign w:val="subscript"/>
              </w:rPr>
              <w:t>X</w:t>
            </w:r>
            <w:r>
              <w:rPr>
                <w:iCs/>
                <w:sz w:val="18"/>
                <w:szCs w:val="18"/>
              </w:rPr>
              <w:t xml:space="preserve"> limit in Table 1 of NSPS Subpart KKKK limit shall be sufficient for demonstrating compliance with the Secondary NO</w:t>
            </w:r>
            <w:r>
              <w:rPr>
                <w:iCs/>
                <w:sz w:val="18"/>
                <w:szCs w:val="18"/>
                <w:vertAlign w:val="subscript"/>
              </w:rPr>
              <w:t>X</w:t>
            </w:r>
            <w:r>
              <w:rPr>
                <w:iCs/>
                <w:sz w:val="18"/>
                <w:szCs w:val="18"/>
              </w:rPr>
              <w:t xml:space="preserve"> BACT limit.</w:t>
            </w:r>
          </w:p>
          <w:p w:rsidR="00F1455E" w:rsidRDefault="00F1455E" w:rsidP="0017609E">
            <w:pPr>
              <w:numPr>
                <w:ilvl w:val="0"/>
                <w:numId w:val="15"/>
              </w:numPr>
              <w:tabs>
                <w:tab w:val="num" w:pos="252"/>
              </w:tabs>
              <w:suppressAutoHyphens/>
              <w:spacing w:before="20" w:after="20"/>
              <w:ind w:left="260" w:hanging="274"/>
              <w:rPr>
                <w:sz w:val="18"/>
                <w:szCs w:val="18"/>
              </w:rPr>
            </w:pPr>
            <w:r>
              <w:rPr>
                <w:sz w:val="18"/>
                <w:szCs w:val="18"/>
              </w:rPr>
              <w:t>The composite NSPS KKKK NO</w:t>
            </w:r>
            <w:r>
              <w:rPr>
                <w:sz w:val="18"/>
                <w:szCs w:val="18"/>
                <w:vertAlign w:val="subscript"/>
              </w:rPr>
              <w:t>X</w:t>
            </w:r>
            <w:r>
              <w:rPr>
                <w:sz w:val="18"/>
                <w:szCs w:val="18"/>
              </w:rPr>
              <w:t xml:space="preserve"> emission limit for periods during which multiple NO</w:t>
            </w:r>
            <w:r>
              <w:rPr>
                <w:sz w:val="18"/>
                <w:szCs w:val="18"/>
                <w:vertAlign w:val="subscript"/>
              </w:rPr>
              <w:t>X</w:t>
            </w:r>
            <w:r>
              <w:rPr>
                <w:sz w:val="18"/>
                <w:szCs w:val="18"/>
              </w:rPr>
              <w:t xml:space="preserve"> emission standards apply shall be determined in accordance with 40 CFR 60.4380(b)(3).</w:t>
            </w:r>
          </w:p>
          <w:p w:rsidR="00F1455E" w:rsidRDefault="00F1455E" w:rsidP="0017609E">
            <w:pPr>
              <w:numPr>
                <w:ilvl w:val="0"/>
                <w:numId w:val="15"/>
              </w:numPr>
              <w:tabs>
                <w:tab w:val="num" w:pos="252"/>
              </w:tabs>
              <w:suppressAutoHyphens/>
              <w:spacing w:before="20" w:after="20"/>
              <w:ind w:left="260" w:hanging="274"/>
              <w:rPr>
                <w:sz w:val="18"/>
                <w:szCs w:val="18"/>
              </w:rPr>
            </w:pPr>
            <w:r>
              <w:rPr>
                <w:sz w:val="18"/>
                <w:szCs w:val="18"/>
              </w:rPr>
              <w:t>The fuel sulfur specifications combined with the efficient combustion design and operation of the combustion turbines represent BACT for PM/PM</w:t>
            </w:r>
            <w:r>
              <w:rPr>
                <w:sz w:val="18"/>
                <w:szCs w:val="18"/>
                <w:vertAlign w:val="subscript"/>
              </w:rPr>
              <w:t>10</w:t>
            </w:r>
            <w:r>
              <w:rPr>
                <w:sz w:val="18"/>
                <w:szCs w:val="18"/>
              </w:rPr>
              <w:t>/PM</w:t>
            </w:r>
            <w:r>
              <w:rPr>
                <w:sz w:val="18"/>
                <w:szCs w:val="18"/>
                <w:vertAlign w:val="subscript"/>
              </w:rPr>
              <w:t>2.5</w:t>
            </w:r>
            <w:r>
              <w:rPr>
                <w:sz w:val="18"/>
                <w:szCs w:val="18"/>
              </w:rPr>
              <w:t xml:space="preserve"> and SO</w:t>
            </w:r>
            <w:r>
              <w:rPr>
                <w:sz w:val="18"/>
                <w:szCs w:val="18"/>
                <w:vertAlign w:val="subscript"/>
              </w:rPr>
              <w:t>2</w:t>
            </w:r>
            <w:r>
              <w:rPr>
                <w:sz w:val="18"/>
                <w:szCs w:val="18"/>
              </w:rPr>
              <w:t xml:space="preserve"> emissions.  Compliance with the fuel specifications, CO standards, and visible emissions (opacity) limit shall serve as indicators of good combustion.</w:t>
            </w:r>
          </w:p>
          <w:p w:rsidR="00F1455E" w:rsidRDefault="00F1455E" w:rsidP="0017609E">
            <w:pPr>
              <w:numPr>
                <w:ilvl w:val="0"/>
                <w:numId w:val="15"/>
              </w:numPr>
              <w:tabs>
                <w:tab w:val="num" w:pos="252"/>
              </w:tabs>
              <w:suppressAutoHyphens/>
              <w:spacing w:before="20" w:after="20"/>
              <w:ind w:left="260" w:hanging="274"/>
              <w:rPr>
                <w:sz w:val="18"/>
                <w:szCs w:val="18"/>
              </w:rPr>
            </w:pPr>
            <w:r>
              <w:rPr>
                <w:sz w:val="18"/>
                <w:szCs w:val="18"/>
              </w:rPr>
              <w:t xml:space="preserve">Compliance with the 10% opacity standard shall be demonstrated by conducting 30-minute tests in accordance with EPA Method 9 - Visual Determination of Opacity, at </w:t>
            </w:r>
            <w:r w:rsidR="009B1271" w:rsidRPr="009B1271">
              <w:rPr>
                <w:sz w:val="18"/>
                <w:szCs w:val="18"/>
              </w:rPr>
              <w:t>baseload</w:t>
            </w:r>
            <w:r w:rsidRPr="009B1271">
              <w:rPr>
                <w:sz w:val="18"/>
                <w:szCs w:val="18"/>
              </w:rPr>
              <w:t xml:space="preserve"> conditions</w:t>
            </w:r>
            <w:r>
              <w:rPr>
                <w:sz w:val="18"/>
                <w:szCs w:val="18"/>
              </w:rPr>
              <w:t xml:space="preserve">.  </w:t>
            </w:r>
            <w:r>
              <w:rPr>
                <w:iCs/>
                <w:sz w:val="18"/>
                <w:szCs w:val="18"/>
              </w:rPr>
              <w:t xml:space="preserve">Visible emissions during startups, shutdowns, </w:t>
            </w:r>
            <w:r w:rsidR="00BC3551">
              <w:rPr>
                <w:iCs/>
                <w:sz w:val="18"/>
                <w:szCs w:val="18"/>
              </w:rPr>
              <w:t xml:space="preserve">SCR tuning, </w:t>
            </w:r>
            <w:r>
              <w:rPr>
                <w:iCs/>
                <w:sz w:val="18"/>
                <w:szCs w:val="18"/>
              </w:rPr>
              <w:t xml:space="preserve">DLN tuning, and malfunctions shall </w:t>
            </w:r>
            <w:r w:rsidRPr="00803832">
              <w:rPr>
                <w:iCs/>
                <w:sz w:val="18"/>
                <w:szCs w:val="18"/>
              </w:rPr>
              <w:t>not exceed 10%</w:t>
            </w:r>
            <w:r>
              <w:rPr>
                <w:iCs/>
                <w:sz w:val="18"/>
                <w:szCs w:val="18"/>
              </w:rPr>
              <w:t xml:space="preserve"> opacity, except for up to six 6-minute average periods during a calendar day, which shall not exceed 20% opacity.</w:t>
            </w:r>
          </w:p>
          <w:p w:rsidR="00F1455E" w:rsidRDefault="00F1455E" w:rsidP="0017609E">
            <w:pPr>
              <w:numPr>
                <w:ilvl w:val="0"/>
                <w:numId w:val="15"/>
              </w:numPr>
              <w:tabs>
                <w:tab w:val="num" w:pos="252"/>
              </w:tabs>
              <w:suppressAutoHyphens/>
              <w:spacing w:before="20" w:after="20"/>
              <w:ind w:left="260" w:hanging="274"/>
              <w:rPr>
                <w:sz w:val="18"/>
                <w:szCs w:val="18"/>
              </w:rPr>
            </w:pPr>
            <w:r>
              <w:rPr>
                <w:sz w:val="18"/>
                <w:szCs w:val="18"/>
              </w:rPr>
              <w:t>GHG monitoring shall be in accordance with 40 CFR 75, which includes options for continuous monitoring of fuel use combined with the use of emissions factors for GHGs, or the use of a continuous emissions monitor for CO</w:t>
            </w:r>
            <w:r>
              <w:rPr>
                <w:sz w:val="18"/>
                <w:szCs w:val="18"/>
                <w:vertAlign w:val="subscript"/>
              </w:rPr>
              <w:t>2</w:t>
            </w:r>
            <w:r>
              <w:rPr>
                <w:sz w:val="18"/>
                <w:szCs w:val="18"/>
              </w:rPr>
              <w:t>.  Calculations of CO</w:t>
            </w:r>
            <w:r>
              <w:rPr>
                <w:sz w:val="18"/>
                <w:szCs w:val="18"/>
                <w:vertAlign w:val="subscript"/>
              </w:rPr>
              <w:t>2</w:t>
            </w:r>
            <w:r>
              <w:rPr>
                <w:sz w:val="18"/>
                <w:szCs w:val="18"/>
              </w:rPr>
              <w:t>e emissions shall use the 100-year global warming potential values listed in Table A-1 to Subpart A of 40 CFR 98</w:t>
            </w:r>
            <w:r w:rsidR="00BC3551">
              <w:rPr>
                <w:sz w:val="18"/>
                <w:szCs w:val="18"/>
              </w:rPr>
              <w:t xml:space="preserve"> (2017)</w:t>
            </w:r>
            <w:r>
              <w:rPr>
                <w:sz w:val="18"/>
                <w:szCs w:val="18"/>
              </w:rPr>
              <w:t xml:space="preserve"> (</w:t>
            </w:r>
            <w:r w:rsidR="00BC3551">
              <w:rPr>
                <w:sz w:val="18"/>
                <w:szCs w:val="18"/>
              </w:rPr>
              <w:t>i</w:t>
            </w:r>
            <w:r>
              <w:rPr>
                <w:sz w:val="18"/>
                <w:szCs w:val="18"/>
              </w:rPr>
              <w:t>.</w:t>
            </w:r>
            <w:r w:rsidR="00BC3551">
              <w:rPr>
                <w:sz w:val="18"/>
                <w:szCs w:val="18"/>
              </w:rPr>
              <w:t>e</w:t>
            </w:r>
            <w:r>
              <w:rPr>
                <w:sz w:val="18"/>
                <w:szCs w:val="18"/>
              </w:rPr>
              <w:t>. 1 for CO</w:t>
            </w:r>
            <w:r>
              <w:rPr>
                <w:sz w:val="18"/>
                <w:szCs w:val="18"/>
                <w:vertAlign w:val="subscript"/>
              </w:rPr>
              <w:t>2</w:t>
            </w:r>
            <w:r>
              <w:rPr>
                <w:sz w:val="18"/>
                <w:szCs w:val="18"/>
              </w:rPr>
              <w:t>, 25 for CH</w:t>
            </w:r>
            <w:r>
              <w:rPr>
                <w:sz w:val="18"/>
                <w:szCs w:val="18"/>
                <w:vertAlign w:val="subscript"/>
              </w:rPr>
              <w:t>4</w:t>
            </w:r>
            <w:r>
              <w:rPr>
                <w:sz w:val="18"/>
                <w:szCs w:val="18"/>
              </w:rPr>
              <w:t xml:space="preserve"> and 298 for N</w:t>
            </w:r>
            <w:r>
              <w:rPr>
                <w:sz w:val="18"/>
                <w:szCs w:val="18"/>
                <w:vertAlign w:val="subscript"/>
              </w:rPr>
              <w:t>2</w:t>
            </w:r>
            <w:r>
              <w:rPr>
                <w:sz w:val="18"/>
                <w:szCs w:val="18"/>
              </w:rPr>
              <w:t xml:space="preserve">O).  The GHG BACT limit applies to the </w:t>
            </w:r>
            <w:r w:rsidR="00544195">
              <w:rPr>
                <w:sz w:val="18"/>
                <w:szCs w:val="18"/>
              </w:rPr>
              <w:t>1</w:t>
            </w:r>
            <w:r>
              <w:rPr>
                <w:sz w:val="18"/>
                <w:szCs w:val="18"/>
              </w:rPr>
              <w:t xml:space="preserve">-on-1 combined cycle unit as an aggregate limit. The Primary GHG BACT limit applies during all operation, except the conditions enumerated in </w:t>
            </w:r>
            <w:r>
              <w:rPr>
                <w:b/>
                <w:sz w:val="18"/>
                <w:szCs w:val="18"/>
              </w:rPr>
              <w:t xml:space="preserve">Specific Condition </w:t>
            </w:r>
            <w:r w:rsidR="008876B4" w:rsidRPr="008876B4">
              <w:rPr>
                <w:b/>
                <w:sz w:val="18"/>
                <w:szCs w:val="18"/>
              </w:rPr>
              <w:fldChar w:fldCharType="begin"/>
            </w:r>
            <w:r w:rsidR="008876B4" w:rsidRPr="008876B4">
              <w:rPr>
                <w:b/>
                <w:sz w:val="18"/>
                <w:szCs w:val="18"/>
              </w:rPr>
              <w:instrText xml:space="preserve"> REF _Ref421786096 \r \h </w:instrText>
            </w:r>
            <w:r w:rsidR="008876B4">
              <w:rPr>
                <w:b/>
                <w:sz w:val="18"/>
                <w:szCs w:val="18"/>
              </w:rPr>
              <w:instrText xml:space="preserve"> \* MERGEFORMAT </w:instrText>
            </w:r>
            <w:r w:rsidR="008876B4" w:rsidRPr="008876B4">
              <w:rPr>
                <w:b/>
                <w:sz w:val="18"/>
                <w:szCs w:val="18"/>
              </w:rPr>
            </w:r>
            <w:r w:rsidR="008876B4" w:rsidRPr="008876B4">
              <w:rPr>
                <w:b/>
                <w:sz w:val="18"/>
                <w:szCs w:val="18"/>
              </w:rPr>
              <w:fldChar w:fldCharType="separate"/>
            </w:r>
            <w:r w:rsidR="006D04C9">
              <w:rPr>
                <w:b/>
                <w:sz w:val="18"/>
                <w:szCs w:val="18"/>
              </w:rPr>
              <w:t>17</w:t>
            </w:r>
            <w:r w:rsidR="008876B4" w:rsidRPr="008876B4">
              <w:rPr>
                <w:b/>
                <w:sz w:val="18"/>
                <w:szCs w:val="18"/>
              </w:rPr>
              <w:fldChar w:fldCharType="end"/>
            </w:r>
            <w:r>
              <w:rPr>
                <w:sz w:val="18"/>
                <w:szCs w:val="18"/>
              </w:rPr>
              <w:t xml:space="preserve">.  </w:t>
            </w:r>
            <w:r w:rsidR="008876B4">
              <w:rPr>
                <w:sz w:val="18"/>
                <w:szCs w:val="18"/>
              </w:rPr>
              <w:t>However, t</w:t>
            </w:r>
            <w:r>
              <w:rPr>
                <w:sz w:val="18"/>
                <w:szCs w:val="18"/>
              </w:rPr>
              <w:t xml:space="preserve">he Secondary GHG BACT limit applies for all operation, including the conditions enumerated in </w:t>
            </w:r>
            <w:r>
              <w:rPr>
                <w:b/>
                <w:sz w:val="18"/>
                <w:szCs w:val="18"/>
              </w:rPr>
              <w:t xml:space="preserve">Specific Condition </w:t>
            </w:r>
            <w:r w:rsidR="008876B4" w:rsidRPr="008876B4">
              <w:rPr>
                <w:b/>
                <w:sz w:val="18"/>
                <w:szCs w:val="18"/>
              </w:rPr>
              <w:fldChar w:fldCharType="begin"/>
            </w:r>
            <w:r w:rsidR="008876B4" w:rsidRPr="008876B4">
              <w:rPr>
                <w:b/>
                <w:sz w:val="18"/>
                <w:szCs w:val="18"/>
              </w:rPr>
              <w:instrText xml:space="preserve"> REF _Ref421786096 \r \h </w:instrText>
            </w:r>
            <w:r w:rsidR="008876B4">
              <w:rPr>
                <w:b/>
                <w:sz w:val="18"/>
                <w:szCs w:val="18"/>
              </w:rPr>
              <w:instrText xml:space="preserve"> \* MERGEFORMAT </w:instrText>
            </w:r>
            <w:r w:rsidR="008876B4" w:rsidRPr="008876B4">
              <w:rPr>
                <w:b/>
                <w:sz w:val="18"/>
                <w:szCs w:val="18"/>
              </w:rPr>
            </w:r>
            <w:r w:rsidR="008876B4" w:rsidRPr="008876B4">
              <w:rPr>
                <w:b/>
                <w:sz w:val="18"/>
                <w:szCs w:val="18"/>
              </w:rPr>
              <w:fldChar w:fldCharType="separate"/>
            </w:r>
            <w:r w:rsidR="006D04C9">
              <w:rPr>
                <w:b/>
                <w:sz w:val="18"/>
                <w:szCs w:val="18"/>
              </w:rPr>
              <w:t>17</w:t>
            </w:r>
            <w:r w:rsidR="008876B4" w:rsidRPr="008876B4">
              <w:rPr>
                <w:b/>
                <w:sz w:val="18"/>
                <w:szCs w:val="18"/>
              </w:rPr>
              <w:fldChar w:fldCharType="end"/>
            </w:r>
            <w:r>
              <w:rPr>
                <w:sz w:val="18"/>
                <w:szCs w:val="18"/>
              </w:rPr>
              <w:t>.  Compliance with the Secondary GHG BACT limit is demonstrated through compliance with NSPS Subpart TTTT.</w:t>
            </w:r>
          </w:p>
          <w:p w:rsidR="00F1455E" w:rsidRPr="009F03C3" w:rsidRDefault="00F1455E" w:rsidP="009F03C3">
            <w:pPr>
              <w:numPr>
                <w:ilvl w:val="0"/>
                <w:numId w:val="15"/>
              </w:numPr>
              <w:tabs>
                <w:tab w:val="num" w:pos="252"/>
              </w:tabs>
              <w:suppressAutoHyphens/>
              <w:spacing w:before="20" w:after="20"/>
              <w:ind w:left="260" w:hanging="274"/>
              <w:rPr>
                <w:sz w:val="18"/>
                <w:szCs w:val="18"/>
                <w:u w:val="double"/>
              </w:rPr>
            </w:pPr>
            <w:r>
              <w:rPr>
                <w:sz w:val="18"/>
                <w:szCs w:val="18"/>
              </w:rPr>
              <w:t>The NSPS Subpart TTTT GHG standard applies during all periods of operation.</w:t>
            </w:r>
            <w:r w:rsidRPr="009F03C3">
              <w:rPr>
                <w:sz w:val="18"/>
                <w:szCs w:val="18"/>
              </w:rPr>
              <w:t xml:space="preserve"> </w:t>
            </w:r>
          </w:p>
        </w:tc>
      </w:tr>
    </w:tbl>
    <w:bookmarkEnd w:id="14"/>
    <w:p w:rsidR="00F1455E" w:rsidRDefault="00F1455E" w:rsidP="00F1455E">
      <w:pPr>
        <w:suppressAutoHyphens/>
        <w:spacing w:before="120" w:after="120"/>
        <w:ind w:left="360"/>
        <w:rPr>
          <w:sz w:val="22"/>
          <w:szCs w:val="22"/>
        </w:rPr>
      </w:pPr>
      <w:r>
        <w:rPr>
          <w:color w:val="000000"/>
          <w:sz w:val="22"/>
          <w:szCs w:val="22"/>
        </w:rPr>
        <w:t>[</w:t>
      </w:r>
      <w:r>
        <w:rPr>
          <w:sz w:val="22"/>
          <w:szCs w:val="22"/>
        </w:rPr>
        <w:t>Rules 62-4.070(3), 62-210.200, 62-212.400, 62-297, F.A.C.; 40 CFR 60, Subpart KKKK; and 40 CFR 60 Subpart TTTT]</w:t>
      </w:r>
    </w:p>
    <w:p w:rsidR="00F1455E" w:rsidRDefault="00F1455E" w:rsidP="0017609E">
      <w:pPr>
        <w:numPr>
          <w:ilvl w:val="0"/>
          <w:numId w:val="2"/>
        </w:numPr>
        <w:suppressAutoHyphens/>
        <w:spacing w:after="120"/>
        <w:rPr>
          <w:sz w:val="22"/>
          <w:szCs w:val="22"/>
        </w:rPr>
      </w:pPr>
      <w:bookmarkStart w:id="15" w:name="NitrogenOxideStandards"/>
      <w:bookmarkEnd w:id="15"/>
      <w:r>
        <w:rPr>
          <w:sz w:val="22"/>
          <w:szCs w:val="22"/>
          <w:u w:val="single"/>
        </w:rPr>
        <w:t>Unconfined Particulate Emissions</w:t>
      </w:r>
      <w:r>
        <w:rPr>
          <w:sz w:val="22"/>
          <w:szCs w:val="22"/>
        </w:rPr>
        <w:t>:  During the construction period, unconfined PM emissions shall be minimized by dust suppressing techniques such as covering, confining, or applying water or chemicals to the affected areas, as necessary.  [Rule 62-296.320(4)(c), F.A.C.]</w:t>
      </w:r>
    </w:p>
    <w:p w:rsidR="00B33155" w:rsidRDefault="00B33155" w:rsidP="00B33155">
      <w:pPr>
        <w:pStyle w:val="Heading5"/>
        <w:numPr>
          <w:ilvl w:val="0"/>
          <w:numId w:val="0"/>
        </w:numPr>
        <w:tabs>
          <w:tab w:val="left" w:pos="6375"/>
        </w:tabs>
        <w:spacing w:before="120" w:after="120"/>
        <w:rPr>
          <w:rFonts w:ascii="Times New Roman" w:hAnsi="Times New Roman"/>
          <w:b/>
          <w:caps/>
          <w:szCs w:val="22"/>
        </w:rPr>
      </w:pPr>
      <w:bookmarkStart w:id="16" w:name="_Ref434487956"/>
      <w:r w:rsidRPr="00845DA5">
        <w:rPr>
          <w:rFonts w:ascii="Times New Roman" w:hAnsi="Times New Roman"/>
          <w:b/>
          <w:caps/>
          <w:szCs w:val="22"/>
        </w:rPr>
        <w:t>Testing</w:t>
      </w:r>
      <w:r>
        <w:rPr>
          <w:rFonts w:ascii="Times New Roman" w:hAnsi="Times New Roman"/>
          <w:b/>
          <w:caps/>
          <w:szCs w:val="22"/>
        </w:rPr>
        <w:t xml:space="preserve"> Requirements</w:t>
      </w:r>
    </w:p>
    <w:p w:rsidR="00F1455E" w:rsidRPr="008751C5" w:rsidRDefault="00F1455E" w:rsidP="003B60A2">
      <w:pPr>
        <w:numPr>
          <w:ilvl w:val="0"/>
          <w:numId w:val="2"/>
        </w:numPr>
        <w:suppressAutoHyphens/>
        <w:spacing w:after="120"/>
        <w:rPr>
          <w:noProof/>
          <w:color w:val="000000"/>
          <w:sz w:val="22"/>
          <w:szCs w:val="22"/>
        </w:rPr>
      </w:pPr>
      <w:bookmarkStart w:id="17" w:name="_Ref511649517"/>
      <w:r w:rsidRPr="008751C5">
        <w:rPr>
          <w:color w:val="000000"/>
          <w:sz w:val="22"/>
          <w:szCs w:val="22"/>
          <w:u w:val="single"/>
        </w:rPr>
        <w:t xml:space="preserve">Testing </w:t>
      </w:r>
      <w:r w:rsidRPr="008751C5">
        <w:rPr>
          <w:sz w:val="22"/>
          <w:szCs w:val="22"/>
          <w:u w:val="single"/>
        </w:rPr>
        <w:t>Requirements</w:t>
      </w:r>
      <w:r w:rsidRPr="008751C5">
        <w:rPr>
          <w:color w:val="000000"/>
          <w:sz w:val="22"/>
          <w:szCs w:val="22"/>
        </w:rPr>
        <w:t xml:space="preserve">: </w:t>
      </w:r>
      <w:bookmarkEnd w:id="16"/>
      <w:r w:rsidR="00565716" w:rsidRPr="008751C5">
        <w:rPr>
          <w:sz w:val="22"/>
          <w:szCs w:val="22"/>
        </w:rPr>
        <w:t>Initial and annual tests shall be conducted at 90% or greater of the design heat input ratings provided in</w:t>
      </w:r>
      <w:r w:rsidR="00AB192F" w:rsidRPr="008751C5">
        <w:rPr>
          <w:sz w:val="22"/>
          <w:szCs w:val="22"/>
        </w:rPr>
        <w:t xml:space="preserve"> the</w:t>
      </w:r>
      <w:r w:rsidR="00565716" w:rsidRPr="008751C5">
        <w:rPr>
          <w:sz w:val="22"/>
          <w:szCs w:val="22"/>
        </w:rPr>
        <w:t xml:space="preserve"> emissions unit description above and corrected as described therein.  If it is impracticable to test within the described range, </w:t>
      </w:r>
      <w:r w:rsidR="00565716" w:rsidRPr="008751C5">
        <w:rPr>
          <w:color w:val="000000"/>
          <w:sz w:val="22"/>
          <w:szCs w:val="22"/>
        </w:rPr>
        <w:t>the</w:t>
      </w:r>
      <w:r w:rsidR="00565716" w:rsidRPr="008751C5">
        <w:rPr>
          <w:sz w:val="22"/>
          <w:szCs w:val="22"/>
        </w:rPr>
        <w:t xml:space="preserve"> combustion turbine may be tested at less than the described range.  If an emissions unit is tested at less than the </w:t>
      </w:r>
      <w:r w:rsidR="00565716" w:rsidRPr="008751C5">
        <w:rPr>
          <w:sz w:val="22"/>
        </w:rPr>
        <w:t>testing</w:t>
      </w:r>
      <w:r w:rsidR="00565716" w:rsidRPr="008751C5">
        <w:rPr>
          <w:sz w:val="22"/>
          <w:szCs w:val="22"/>
        </w:rPr>
        <w:t xml:space="preserve"> capacity, another emissions test shall be conducted and completed no later than 60 days after the emissions unit operation exceeds 110% of the capacity at which its most recent emissions test was conducted</w:t>
      </w:r>
      <w:r w:rsidR="00565716" w:rsidRPr="008751C5">
        <w:rPr>
          <w:noProof/>
          <w:color w:val="000000"/>
          <w:sz w:val="22"/>
          <w:szCs w:val="22"/>
        </w:rPr>
        <w:t xml:space="preserve">. </w:t>
      </w:r>
      <w:r w:rsidR="00565716" w:rsidRPr="008751C5">
        <w:rPr>
          <w:sz w:val="22"/>
          <w:szCs w:val="22"/>
        </w:rPr>
        <w:t xml:space="preserve"> The permittee shall notify the Compliance Authority in writing at least 15 days prior to any required tests.  Tests shall be conducted in accordance with the applicable requirements specified in Appendix D (Common Testing Requirements) of this pe</w:t>
      </w:r>
      <w:r w:rsidR="00AB192F" w:rsidRPr="008751C5">
        <w:rPr>
          <w:sz w:val="22"/>
          <w:szCs w:val="22"/>
        </w:rPr>
        <w:t xml:space="preserve">rmit.  </w:t>
      </w:r>
      <w:r w:rsidR="008751C5" w:rsidRPr="008751C5">
        <w:rPr>
          <w:sz w:val="22"/>
          <w:szCs w:val="22"/>
        </w:rPr>
        <w:t>This</w:t>
      </w:r>
      <w:r w:rsidR="008751C5">
        <w:rPr>
          <w:sz w:val="22"/>
          <w:szCs w:val="22"/>
        </w:rPr>
        <w:t xml:space="preserve"> </w:t>
      </w:r>
      <w:r w:rsidR="008751C5" w:rsidRPr="008751C5">
        <w:rPr>
          <w:sz w:val="22"/>
          <w:szCs w:val="22"/>
        </w:rPr>
        <w:t xml:space="preserve">testing is separate from and in addition to non-base-load testing for CO described below.  </w:t>
      </w:r>
      <w:r w:rsidR="00AB192F" w:rsidRPr="008751C5">
        <w:rPr>
          <w:sz w:val="22"/>
          <w:szCs w:val="22"/>
        </w:rPr>
        <w:t xml:space="preserve">[Rules 62-297.310(3) &amp; </w:t>
      </w:r>
      <w:r w:rsidR="00565716" w:rsidRPr="008751C5">
        <w:rPr>
          <w:sz w:val="22"/>
          <w:szCs w:val="22"/>
        </w:rPr>
        <w:t>(9), F.A.C.]</w:t>
      </w:r>
      <w:bookmarkEnd w:id="17"/>
    </w:p>
    <w:p w:rsidR="00F1455E" w:rsidRDefault="00F1455E" w:rsidP="0017609E">
      <w:pPr>
        <w:numPr>
          <w:ilvl w:val="0"/>
          <w:numId w:val="2"/>
        </w:numPr>
        <w:suppressAutoHyphens/>
        <w:spacing w:after="120"/>
        <w:rPr>
          <w:sz w:val="22"/>
          <w:szCs w:val="22"/>
        </w:rPr>
      </w:pPr>
      <w:bookmarkStart w:id="18" w:name="_Ref436660377"/>
      <w:r>
        <w:rPr>
          <w:sz w:val="22"/>
          <w:szCs w:val="22"/>
          <w:u w:val="single"/>
        </w:rPr>
        <w:lastRenderedPageBreak/>
        <w:t>Initial Compliance Demonstrations</w:t>
      </w:r>
      <w:r>
        <w:rPr>
          <w:sz w:val="22"/>
          <w:szCs w:val="22"/>
        </w:rPr>
        <w:t>:</w:t>
      </w:r>
      <w:bookmarkEnd w:id="18"/>
    </w:p>
    <w:p w:rsidR="00F1455E" w:rsidRPr="00831B9B" w:rsidRDefault="008751C5" w:rsidP="00831B9B">
      <w:pPr>
        <w:numPr>
          <w:ilvl w:val="1"/>
          <w:numId w:val="13"/>
        </w:numPr>
        <w:spacing w:before="120"/>
        <w:ind w:left="720"/>
        <w:rPr>
          <w:sz w:val="22"/>
          <w:szCs w:val="22"/>
        </w:rPr>
      </w:pPr>
      <w:bookmarkStart w:id="19" w:name="_Ref436660750"/>
      <w:r w:rsidRPr="00831B9B">
        <w:rPr>
          <w:i/>
          <w:sz w:val="22"/>
          <w:szCs w:val="22"/>
        </w:rPr>
        <w:t>CO and Visible Emissions</w:t>
      </w:r>
      <w:r w:rsidR="008911C1" w:rsidRPr="00831B9B">
        <w:rPr>
          <w:i/>
          <w:sz w:val="22"/>
          <w:szCs w:val="22"/>
        </w:rPr>
        <w:t>, Base-</w:t>
      </w:r>
      <w:r w:rsidR="00F1455E" w:rsidRPr="00831B9B">
        <w:rPr>
          <w:i/>
          <w:sz w:val="22"/>
          <w:szCs w:val="22"/>
        </w:rPr>
        <w:t>Load:</w:t>
      </w:r>
      <w:r w:rsidR="00F1455E" w:rsidRPr="00831B9B">
        <w:rPr>
          <w:sz w:val="22"/>
          <w:szCs w:val="22"/>
        </w:rPr>
        <w:t xml:space="preserve">  Initial compliance stack tests shall be conducted within 60 days after achieving the maximum production rate, but not later than 180 days after the initial startup on that fuel.  In accordance with the test methods specified in this permit, the</w:t>
      </w:r>
      <w:r w:rsidR="00D837FB" w:rsidRPr="00831B9B">
        <w:rPr>
          <w:sz w:val="22"/>
          <w:szCs w:val="22"/>
        </w:rPr>
        <w:t xml:space="preserve"> CTG</w:t>
      </w:r>
      <w:r w:rsidR="00F1455E" w:rsidRPr="00831B9B">
        <w:rPr>
          <w:sz w:val="22"/>
          <w:szCs w:val="22"/>
        </w:rPr>
        <w:t xml:space="preserve"> shall be tested to demonstrate initial compliance with the emission rate standards for </w:t>
      </w:r>
      <w:r w:rsidR="00C83053" w:rsidRPr="00831B9B">
        <w:rPr>
          <w:sz w:val="22"/>
          <w:szCs w:val="22"/>
        </w:rPr>
        <w:t>CO</w:t>
      </w:r>
      <w:r w:rsidR="00F1455E" w:rsidRPr="00831B9B">
        <w:rPr>
          <w:sz w:val="22"/>
          <w:szCs w:val="22"/>
        </w:rPr>
        <w:t xml:space="preserve"> </w:t>
      </w:r>
      <w:r w:rsidR="00831B9B" w:rsidRPr="00831B9B">
        <w:rPr>
          <w:sz w:val="22"/>
          <w:szCs w:val="22"/>
        </w:rPr>
        <w:t>(with and</w:t>
      </w:r>
      <w:r w:rsidR="00831B9B">
        <w:rPr>
          <w:sz w:val="22"/>
          <w:szCs w:val="22"/>
        </w:rPr>
        <w:t xml:space="preserve"> </w:t>
      </w:r>
      <w:r w:rsidR="00831B9B" w:rsidRPr="00831B9B">
        <w:rPr>
          <w:sz w:val="22"/>
          <w:szCs w:val="22"/>
        </w:rPr>
        <w:t>without duct firing) and with the visible emissions standard (with duct f</w:t>
      </w:r>
      <w:r w:rsidR="00831B9B" w:rsidRPr="009B1271">
        <w:rPr>
          <w:sz w:val="22"/>
          <w:szCs w:val="22"/>
        </w:rPr>
        <w:t>iring</w:t>
      </w:r>
      <w:r w:rsidR="004B6180">
        <w:rPr>
          <w:sz w:val="22"/>
          <w:szCs w:val="22"/>
        </w:rPr>
        <w:t>).</w:t>
      </w:r>
    </w:p>
    <w:p w:rsidR="00F1455E" w:rsidRDefault="00F1455E" w:rsidP="0017609E">
      <w:pPr>
        <w:numPr>
          <w:ilvl w:val="1"/>
          <w:numId w:val="13"/>
        </w:numPr>
        <w:spacing w:before="120"/>
        <w:ind w:left="720"/>
        <w:rPr>
          <w:sz w:val="22"/>
          <w:szCs w:val="22"/>
        </w:rPr>
      </w:pPr>
      <w:bookmarkStart w:id="20" w:name="_Ref437009839"/>
      <w:r>
        <w:rPr>
          <w:i/>
          <w:sz w:val="22"/>
          <w:szCs w:val="22"/>
        </w:rPr>
        <w:t>Carbon Monoxide, Non-Base</w:t>
      </w:r>
      <w:r w:rsidR="008911C1">
        <w:rPr>
          <w:i/>
          <w:sz w:val="22"/>
          <w:szCs w:val="22"/>
        </w:rPr>
        <w:t>-</w:t>
      </w:r>
      <w:r>
        <w:rPr>
          <w:i/>
          <w:sz w:val="22"/>
          <w:szCs w:val="22"/>
        </w:rPr>
        <w:t>Load:</w:t>
      </w:r>
      <w:r>
        <w:rPr>
          <w:sz w:val="22"/>
          <w:szCs w:val="22"/>
        </w:rPr>
        <w:t xml:space="preserve">  Initial stack tests for non-base-load CO </w:t>
      </w:r>
      <w:r w:rsidR="00541DD4">
        <w:rPr>
          <w:sz w:val="22"/>
          <w:szCs w:val="22"/>
        </w:rPr>
        <w:t>s</w:t>
      </w:r>
      <w:r>
        <w:rPr>
          <w:sz w:val="22"/>
          <w:szCs w:val="22"/>
        </w:rPr>
        <w:t>hall be conducted within 60 days after achieving the maximum production rate, but not later than 180 days after the initial startup.  The tests for non-base-load CO shall be conducted at a</w:t>
      </w:r>
      <w:r w:rsidR="00D837FB">
        <w:rPr>
          <w:sz w:val="22"/>
          <w:szCs w:val="22"/>
        </w:rPr>
        <w:t xml:space="preserve"> CTG</w:t>
      </w:r>
      <w:r>
        <w:rPr>
          <w:sz w:val="22"/>
          <w:szCs w:val="22"/>
        </w:rPr>
        <w:t xml:space="preserve"> load below 90%.  The minimum load at which compliance with the applicable CO limit in </w:t>
      </w:r>
      <w:r>
        <w:rPr>
          <w:b/>
          <w:sz w:val="22"/>
          <w:szCs w:val="22"/>
        </w:rPr>
        <w:t xml:space="preserve">Specific Condition </w:t>
      </w:r>
      <w:r w:rsidR="006156B8">
        <w:fldChar w:fldCharType="begin"/>
      </w:r>
      <w:r w:rsidR="006156B8">
        <w:rPr>
          <w:b/>
          <w:sz w:val="22"/>
          <w:szCs w:val="22"/>
        </w:rPr>
        <w:instrText xml:space="preserve"> REF _Ref511649349 \r \h </w:instrText>
      </w:r>
      <w:r w:rsidR="006156B8">
        <w:fldChar w:fldCharType="separate"/>
      </w:r>
      <w:r w:rsidR="006D04C9">
        <w:rPr>
          <w:b/>
          <w:sz w:val="22"/>
          <w:szCs w:val="22"/>
        </w:rPr>
        <w:t>8</w:t>
      </w:r>
      <w:r w:rsidR="006156B8">
        <w:fldChar w:fldCharType="end"/>
      </w:r>
      <w:r>
        <w:rPr>
          <w:sz w:val="22"/>
          <w:szCs w:val="22"/>
        </w:rPr>
        <w:t xml:space="preserve"> is demonstrated in this test shall determine the minimum operating load for that</w:t>
      </w:r>
      <w:r w:rsidR="00D837FB">
        <w:rPr>
          <w:sz w:val="22"/>
          <w:szCs w:val="22"/>
        </w:rPr>
        <w:t xml:space="preserve"> CTG</w:t>
      </w:r>
      <w:r>
        <w:rPr>
          <w:sz w:val="22"/>
          <w:szCs w:val="22"/>
        </w:rPr>
        <w:t xml:space="preserve">, pursuant to </w:t>
      </w:r>
      <w:r>
        <w:rPr>
          <w:b/>
          <w:sz w:val="22"/>
          <w:szCs w:val="22"/>
        </w:rPr>
        <w:t xml:space="preserve">Specific Condition </w:t>
      </w:r>
      <w:r w:rsidR="006156B8">
        <w:fldChar w:fldCharType="begin"/>
      </w:r>
      <w:r w:rsidR="006156B8">
        <w:rPr>
          <w:b/>
          <w:sz w:val="22"/>
          <w:szCs w:val="22"/>
        </w:rPr>
        <w:instrText xml:space="preserve"> REF _Ref511649437 \r \h </w:instrText>
      </w:r>
      <w:r w:rsidR="006156B8">
        <w:fldChar w:fldCharType="separate"/>
      </w:r>
      <w:r w:rsidR="006D04C9">
        <w:rPr>
          <w:b/>
          <w:sz w:val="22"/>
          <w:szCs w:val="22"/>
        </w:rPr>
        <w:t>7</w:t>
      </w:r>
      <w:r w:rsidR="006156B8">
        <w:fldChar w:fldCharType="end"/>
      </w:r>
      <w:r>
        <w:rPr>
          <w:sz w:val="22"/>
          <w:szCs w:val="22"/>
        </w:rPr>
        <w:t xml:space="preserve">.  If measured CO emissions in the non-base-load stack test are greater than the CO limit, this shall not constitute a failed stack test; rather, the permittee shall conduct non-base-load testing until the load at which compliance is demonstrated can be determined. </w:t>
      </w:r>
      <w:r>
        <w:rPr>
          <w:i/>
          <w:sz w:val="22"/>
          <w:szCs w:val="22"/>
        </w:rPr>
        <w:t xml:space="preserve">{Permitting </w:t>
      </w:r>
      <w:r w:rsidR="004C0AAA">
        <w:rPr>
          <w:i/>
          <w:sz w:val="22"/>
          <w:szCs w:val="22"/>
        </w:rPr>
        <w:t>N</w:t>
      </w:r>
      <w:r>
        <w:rPr>
          <w:i/>
          <w:sz w:val="22"/>
          <w:szCs w:val="22"/>
        </w:rPr>
        <w:t xml:space="preserve">ote:  The non-base-load CO test will </w:t>
      </w:r>
      <w:r>
        <w:rPr>
          <w:i/>
          <w:sz w:val="22"/>
          <w:szCs w:val="22"/>
          <w:u w:val="single"/>
        </w:rPr>
        <w:t>not</w:t>
      </w:r>
      <w:r>
        <w:rPr>
          <w:i/>
          <w:sz w:val="22"/>
          <w:szCs w:val="22"/>
        </w:rPr>
        <w:t xml:space="preserve"> be used to define the facility’s “testing capacity” for the purposes of Rule 62-297.310(3), F.A.C., or </w:t>
      </w:r>
      <w:r>
        <w:rPr>
          <w:b/>
          <w:i/>
          <w:sz w:val="22"/>
          <w:szCs w:val="22"/>
        </w:rPr>
        <w:t xml:space="preserve">Specific Condition </w:t>
      </w:r>
      <w:r w:rsidR="006156B8">
        <w:fldChar w:fldCharType="begin"/>
      </w:r>
      <w:r w:rsidR="006156B8">
        <w:rPr>
          <w:b/>
          <w:i/>
          <w:sz w:val="22"/>
          <w:szCs w:val="22"/>
        </w:rPr>
        <w:instrText xml:space="preserve"> REF _Ref511649517 \r \h </w:instrText>
      </w:r>
      <w:r w:rsidR="006156B8">
        <w:fldChar w:fldCharType="separate"/>
      </w:r>
      <w:r w:rsidR="006D04C9">
        <w:rPr>
          <w:b/>
          <w:i/>
          <w:sz w:val="22"/>
          <w:szCs w:val="22"/>
        </w:rPr>
        <w:t>10</w:t>
      </w:r>
      <w:r w:rsidR="006156B8">
        <w:fldChar w:fldCharType="end"/>
      </w:r>
      <w:r>
        <w:rPr>
          <w:i/>
          <w:sz w:val="22"/>
          <w:szCs w:val="22"/>
        </w:rPr>
        <w:t>.}</w:t>
      </w:r>
      <w:bookmarkEnd w:id="19"/>
      <w:bookmarkEnd w:id="20"/>
    </w:p>
    <w:p w:rsidR="00F1455E" w:rsidRDefault="00F1455E" w:rsidP="0017609E">
      <w:pPr>
        <w:numPr>
          <w:ilvl w:val="1"/>
          <w:numId w:val="13"/>
        </w:numPr>
        <w:spacing w:before="120"/>
        <w:ind w:left="720"/>
        <w:rPr>
          <w:sz w:val="22"/>
          <w:szCs w:val="22"/>
        </w:rPr>
      </w:pPr>
      <w:r>
        <w:rPr>
          <w:i/>
          <w:sz w:val="22"/>
          <w:szCs w:val="22"/>
        </w:rPr>
        <w:t>GHGs:</w:t>
      </w:r>
      <w:r>
        <w:rPr>
          <w:sz w:val="22"/>
          <w:szCs w:val="22"/>
        </w:rPr>
        <w:t xml:space="preserve">  Within 60 days after achieving the maximum production rate for the entire combined-cycle unit, the unit shall demonstrate achievement of a</w:t>
      </w:r>
      <w:r w:rsidR="00542E9D">
        <w:rPr>
          <w:sz w:val="22"/>
          <w:szCs w:val="22"/>
        </w:rPr>
        <w:t xml:space="preserve"> target </w:t>
      </w:r>
      <w:r>
        <w:rPr>
          <w:sz w:val="22"/>
          <w:szCs w:val="22"/>
        </w:rPr>
        <w:t xml:space="preserve">rate </w:t>
      </w:r>
      <w:r w:rsidRPr="006B1CE3">
        <w:rPr>
          <w:sz w:val="22"/>
          <w:szCs w:val="22"/>
        </w:rPr>
        <w:t>of 8</w:t>
      </w:r>
      <w:r w:rsidR="009D1D20" w:rsidRPr="006B1CE3">
        <w:rPr>
          <w:sz w:val="22"/>
          <w:szCs w:val="22"/>
        </w:rPr>
        <w:t>2</w:t>
      </w:r>
      <w:r w:rsidR="006B1CE3" w:rsidRPr="006B1CE3">
        <w:rPr>
          <w:sz w:val="22"/>
          <w:szCs w:val="22"/>
        </w:rPr>
        <w:t>0</w:t>
      </w:r>
      <w:r>
        <w:rPr>
          <w:sz w:val="22"/>
          <w:szCs w:val="22"/>
        </w:rPr>
        <w:t xml:space="preserve"> </w:t>
      </w:r>
      <w:proofErr w:type="spellStart"/>
      <w:r>
        <w:rPr>
          <w:sz w:val="22"/>
          <w:szCs w:val="22"/>
        </w:rPr>
        <w:t>lb</w:t>
      </w:r>
      <w:proofErr w:type="spellEnd"/>
      <w:r>
        <w:rPr>
          <w:sz w:val="22"/>
          <w:szCs w:val="22"/>
        </w:rPr>
        <w:t xml:space="preserve"> CO</w:t>
      </w:r>
      <w:r>
        <w:rPr>
          <w:sz w:val="22"/>
          <w:szCs w:val="22"/>
          <w:vertAlign w:val="subscript"/>
        </w:rPr>
        <w:t>2</w:t>
      </w:r>
      <w:r>
        <w:rPr>
          <w:sz w:val="22"/>
          <w:szCs w:val="22"/>
        </w:rPr>
        <w:t xml:space="preserve"> per MWh firing natural gas at base</w:t>
      </w:r>
      <w:r w:rsidR="008911C1">
        <w:rPr>
          <w:sz w:val="22"/>
          <w:szCs w:val="22"/>
        </w:rPr>
        <w:t>-</w:t>
      </w:r>
      <w:r>
        <w:rPr>
          <w:sz w:val="22"/>
          <w:szCs w:val="22"/>
        </w:rPr>
        <w:t xml:space="preserve">load, corrected to ambient conditions of 85 </w:t>
      </w:r>
      <w:r>
        <w:rPr>
          <w:sz w:val="24"/>
          <w:szCs w:val="24"/>
        </w:rPr>
        <w:t>°</w:t>
      </w:r>
      <w:r>
        <w:rPr>
          <w:sz w:val="22"/>
          <w:szCs w:val="22"/>
        </w:rPr>
        <w:t>F and 55% relative humidity.  This initial performance demonstration shall consist of a continuous operating period of no less than two hours.  The permittee may use CO</w:t>
      </w:r>
      <w:r>
        <w:rPr>
          <w:sz w:val="22"/>
          <w:szCs w:val="22"/>
          <w:vertAlign w:val="subscript"/>
        </w:rPr>
        <w:t>2</w:t>
      </w:r>
      <w:r>
        <w:rPr>
          <w:sz w:val="22"/>
          <w:szCs w:val="22"/>
        </w:rPr>
        <w:t xml:space="preserve"> monitoring system data for this demonstration.  </w:t>
      </w:r>
      <w:r>
        <w:rPr>
          <w:i/>
          <w:sz w:val="22"/>
          <w:szCs w:val="22"/>
        </w:rPr>
        <w:t xml:space="preserve">{Permitting </w:t>
      </w:r>
      <w:r w:rsidR="00DD0EBF">
        <w:rPr>
          <w:i/>
          <w:sz w:val="22"/>
          <w:szCs w:val="22"/>
        </w:rPr>
        <w:t>N</w:t>
      </w:r>
      <w:r>
        <w:rPr>
          <w:i/>
          <w:sz w:val="22"/>
          <w:szCs w:val="22"/>
        </w:rPr>
        <w:t xml:space="preserve">ote:  After </w:t>
      </w:r>
      <w:r w:rsidR="00542E9D">
        <w:rPr>
          <w:i/>
          <w:sz w:val="22"/>
          <w:szCs w:val="22"/>
        </w:rPr>
        <w:t>performance</w:t>
      </w:r>
      <w:r>
        <w:rPr>
          <w:i/>
          <w:sz w:val="22"/>
          <w:szCs w:val="22"/>
        </w:rPr>
        <w:t xml:space="preserve"> of this initial </w:t>
      </w:r>
      <w:r w:rsidR="00542E9D">
        <w:rPr>
          <w:i/>
          <w:sz w:val="22"/>
          <w:szCs w:val="22"/>
        </w:rPr>
        <w:t>demonstration</w:t>
      </w:r>
      <w:r>
        <w:rPr>
          <w:i/>
          <w:sz w:val="22"/>
          <w:szCs w:val="22"/>
        </w:rPr>
        <w:t xml:space="preserve">, </w:t>
      </w:r>
      <w:r w:rsidR="00542E9D">
        <w:rPr>
          <w:i/>
          <w:sz w:val="22"/>
          <w:szCs w:val="22"/>
        </w:rPr>
        <w:t>this condition and target rate shall no longer apply</w:t>
      </w:r>
      <w:r>
        <w:rPr>
          <w:i/>
          <w:sz w:val="22"/>
          <w:szCs w:val="22"/>
        </w:rPr>
        <w:t xml:space="preserve"> and will not be included in the Title V operating permit for this facility.}</w:t>
      </w:r>
    </w:p>
    <w:p w:rsidR="00F1455E" w:rsidRDefault="00F1455E" w:rsidP="00F1455E">
      <w:pPr>
        <w:spacing w:before="120" w:after="120"/>
        <w:ind w:firstLine="360"/>
        <w:rPr>
          <w:sz w:val="22"/>
          <w:szCs w:val="22"/>
        </w:rPr>
      </w:pPr>
      <w:r>
        <w:rPr>
          <w:sz w:val="22"/>
          <w:szCs w:val="22"/>
        </w:rPr>
        <w:t>[Rules 62</w:t>
      </w:r>
      <w:r>
        <w:rPr>
          <w:sz w:val="22"/>
          <w:szCs w:val="22"/>
        </w:rPr>
        <w:noBreakHyphen/>
        <w:t>4.070, 62-21</w:t>
      </w:r>
      <w:r w:rsidR="001E4C7A">
        <w:rPr>
          <w:sz w:val="22"/>
          <w:szCs w:val="22"/>
        </w:rPr>
        <w:t>2</w:t>
      </w:r>
      <w:r>
        <w:rPr>
          <w:sz w:val="22"/>
          <w:szCs w:val="22"/>
        </w:rPr>
        <w:t>.</w:t>
      </w:r>
      <w:r w:rsidR="00363F9B">
        <w:rPr>
          <w:sz w:val="22"/>
          <w:szCs w:val="22"/>
        </w:rPr>
        <w:t>4</w:t>
      </w:r>
      <w:r>
        <w:rPr>
          <w:sz w:val="22"/>
          <w:szCs w:val="22"/>
        </w:rPr>
        <w:t>00(BACT) and 62</w:t>
      </w:r>
      <w:r>
        <w:rPr>
          <w:sz w:val="22"/>
          <w:szCs w:val="22"/>
        </w:rPr>
        <w:noBreakHyphen/>
        <w:t>297.310(8)(b), F.A.C. and 40 CFR 60.8]</w:t>
      </w:r>
    </w:p>
    <w:p w:rsidR="00F1455E" w:rsidRDefault="001126D9" w:rsidP="0017609E">
      <w:pPr>
        <w:numPr>
          <w:ilvl w:val="0"/>
          <w:numId w:val="2"/>
        </w:numPr>
        <w:suppressAutoHyphens/>
        <w:spacing w:after="120"/>
        <w:rPr>
          <w:sz w:val="22"/>
          <w:szCs w:val="22"/>
        </w:rPr>
      </w:pPr>
      <w:bookmarkStart w:id="21" w:name="_Ref436660393"/>
      <w:r>
        <w:rPr>
          <w:sz w:val="22"/>
          <w:szCs w:val="22"/>
          <w:u w:val="single"/>
        </w:rPr>
        <w:t>Annual</w:t>
      </w:r>
      <w:r w:rsidR="00F1455E">
        <w:rPr>
          <w:sz w:val="22"/>
          <w:szCs w:val="22"/>
          <w:u w:val="single"/>
        </w:rPr>
        <w:t xml:space="preserve"> Compliance Testing</w:t>
      </w:r>
      <w:r w:rsidR="00F1455E">
        <w:rPr>
          <w:sz w:val="22"/>
          <w:szCs w:val="22"/>
        </w:rPr>
        <w:t>:</w:t>
      </w:r>
      <w:bookmarkEnd w:id="21"/>
    </w:p>
    <w:p w:rsidR="00F1455E" w:rsidRDefault="00F1455E" w:rsidP="00C363D2">
      <w:pPr>
        <w:numPr>
          <w:ilvl w:val="0"/>
          <w:numId w:val="26"/>
        </w:numPr>
        <w:spacing w:before="60"/>
        <w:rPr>
          <w:sz w:val="22"/>
          <w:szCs w:val="22"/>
        </w:rPr>
      </w:pPr>
      <w:r>
        <w:rPr>
          <w:i/>
          <w:sz w:val="22"/>
          <w:szCs w:val="22"/>
        </w:rPr>
        <w:t>Visible Emissions and Base-Load CO:</w:t>
      </w:r>
      <w:r>
        <w:rPr>
          <w:sz w:val="22"/>
          <w:szCs w:val="22"/>
        </w:rPr>
        <w:t xml:space="preserve">  </w:t>
      </w:r>
      <w:r w:rsidR="00751366">
        <w:rPr>
          <w:sz w:val="22"/>
          <w:szCs w:val="22"/>
        </w:rPr>
        <w:t>A</w:t>
      </w:r>
      <w:r>
        <w:rPr>
          <w:sz w:val="22"/>
          <w:szCs w:val="22"/>
        </w:rPr>
        <w:t>nnual compliance test</w:t>
      </w:r>
      <w:r w:rsidR="006B2402">
        <w:rPr>
          <w:sz w:val="22"/>
          <w:szCs w:val="22"/>
        </w:rPr>
        <w:t>s</w:t>
      </w:r>
      <w:r>
        <w:rPr>
          <w:sz w:val="22"/>
          <w:szCs w:val="22"/>
        </w:rPr>
        <w:t xml:space="preserve"> for base-load </w:t>
      </w:r>
      <w:r w:rsidR="006B2402">
        <w:rPr>
          <w:sz w:val="22"/>
          <w:szCs w:val="22"/>
        </w:rPr>
        <w:t xml:space="preserve">CO (at </w:t>
      </w:r>
      <w:r>
        <w:rPr>
          <w:sz w:val="24"/>
          <w:szCs w:val="24"/>
        </w:rPr>
        <w:t>≥</w:t>
      </w:r>
      <w:r>
        <w:rPr>
          <w:sz w:val="22"/>
          <w:szCs w:val="22"/>
        </w:rPr>
        <w:t xml:space="preserve"> 90%</w:t>
      </w:r>
      <w:r w:rsidR="00D837FB">
        <w:rPr>
          <w:sz w:val="22"/>
          <w:szCs w:val="22"/>
        </w:rPr>
        <w:t xml:space="preserve"> CTG</w:t>
      </w:r>
      <w:r>
        <w:rPr>
          <w:sz w:val="22"/>
          <w:szCs w:val="22"/>
        </w:rPr>
        <w:t xml:space="preserve"> load</w:t>
      </w:r>
      <w:r w:rsidR="00C33340">
        <w:rPr>
          <w:sz w:val="22"/>
          <w:szCs w:val="22"/>
        </w:rPr>
        <w:t>, with and without duct firing</w:t>
      </w:r>
      <w:r>
        <w:rPr>
          <w:sz w:val="22"/>
          <w:szCs w:val="22"/>
        </w:rPr>
        <w:t xml:space="preserve">) and visible emissions </w:t>
      </w:r>
      <w:r w:rsidR="00C33340" w:rsidRPr="00C33340">
        <w:rPr>
          <w:sz w:val="22"/>
          <w:szCs w:val="22"/>
        </w:rPr>
        <w:t xml:space="preserve">(at ≥ 90% CTG load with duct firing) </w:t>
      </w:r>
      <w:r>
        <w:rPr>
          <w:sz w:val="22"/>
          <w:szCs w:val="22"/>
        </w:rPr>
        <w:t xml:space="preserve">shall be conducted. </w:t>
      </w:r>
      <w:r w:rsidR="00C363D2">
        <w:rPr>
          <w:sz w:val="22"/>
          <w:szCs w:val="22"/>
        </w:rPr>
        <w:t xml:space="preserve"> </w:t>
      </w:r>
      <w:r w:rsidR="00C363D2" w:rsidRPr="00C363D2">
        <w:rPr>
          <w:sz w:val="22"/>
          <w:szCs w:val="22"/>
        </w:rPr>
        <w:t>Annual testing while duct firing is not required if duct firing was not used for more than 400 hours during the prior calendar year</w:t>
      </w:r>
      <w:r w:rsidR="00C363D2">
        <w:rPr>
          <w:sz w:val="22"/>
          <w:szCs w:val="22"/>
        </w:rPr>
        <w:t>.</w:t>
      </w:r>
    </w:p>
    <w:p w:rsidR="00F1455E" w:rsidRDefault="00F1455E" w:rsidP="00646852">
      <w:pPr>
        <w:numPr>
          <w:ilvl w:val="0"/>
          <w:numId w:val="26"/>
        </w:numPr>
        <w:spacing w:before="60"/>
        <w:rPr>
          <w:i/>
          <w:sz w:val="22"/>
          <w:szCs w:val="22"/>
        </w:rPr>
      </w:pPr>
      <w:bookmarkStart w:id="22" w:name="_Ref436660765"/>
      <w:bookmarkStart w:id="23" w:name="_Ref437078046"/>
      <w:r>
        <w:rPr>
          <w:i/>
          <w:sz w:val="22"/>
          <w:szCs w:val="22"/>
        </w:rPr>
        <w:t>Non-Base-Load CO:</w:t>
      </w:r>
      <w:r>
        <w:rPr>
          <w:sz w:val="22"/>
          <w:szCs w:val="22"/>
        </w:rPr>
        <w:t xml:space="preserve">  Tests for non-base-load (i.e. below 90%</w:t>
      </w:r>
      <w:r w:rsidR="00D837FB">
        <w:rPr>
          <w:sz w:val="22"/>
          <w:szCs w:val="22"/>
        </w:rPr>
        <w:t xml:space="preserve"> CTG</w:t>
      </w:r>
      <w:r>
        <w:rPr>
          <w:sz w:val="22"/>
          <w:szCs w:val="22"/>
        </w:rPr>
        <w:t xml:space="preserve"> load</w:t>
      </w:r>
      <w:r w:rsidR="00C33340">
        <w:rPr>
          <w:sz w:val="22"/>
          <w:szCs w:val="22"/>
        </w:rPr>
        <w:t>, without duct firing</w:t>
      </w:r>
      <w:r>
        <w:rPr>
          <w:sz w:val="22"/>
          <w:szCs w:val="22"/>
        </w:rPr>
        <w:t xml:space="preserve">) CO operation shall be conducted annually.  </w:t>
      </w:r>
      <w:bookmarkEnd w:id="22"/>
      <w:r>
        <w:rPr>
          <w:sz w:val="22"/>
          <w:szCs w:val="22"/>
        </w:rPr>
        <w:t xml:space="preserve">The minimum load at which compliance with the applicable CO limit in </w:t>
      </w:r>
      <w:r>
        <w:rPr>
          <w:b/>
          <w:sz w:val="22"/>
          <w:szCs w:val="22"/>
        </w:rPr>
        <w:t xml:space="preserve">Specific Condition </w:t>
      </w:r>
      <w:r w:rsidR="006156B8">
        <w:fldChar w:fldCharType="begin"/>
      </w:r>
      <w:r w:rsidR="006156B8">
        <w:rPr>
          <w:b/>
          <w:sz w:val="22"/>
          <w:szCs w:val="22"/>
        </w:rPr>
        <w:instrText xml:space="preserve"> REF _Ref511649349 \r \h </w:instrText>
      </w:r>
      <w:r w:rsidR="006156B8">
        <w:fldChar w:fldCharType="separate"/>
      </w:r>
      <w:r w:rsidR="006D04C9">
        <w:rPr>
          <w:b/>
          <w:sz w:val="22"/>
          <w:szCs w:val="22"/>
        </w:rPr>
        <w:t>8</w:t>
      </w:r>
      <w:r w:rsidR="006156B8">
        <w:fldChar w:fldCharType="end"/>
      </w:r>
      <w:r>
        <w:rPr>
          <w:sz w:val="22"/>
          <w:szCs w:val="22"/>
        </w:rPr>
        <w:t xml:space="preserve"> is demonstrated in the non-base-load CO test shall determine the minimum operating load for th</w:t>
      </w:r>
      <w:r w:rsidR="00B323D1">
        <w:rPr>
          <w:sz w:val="22"/>
          <w:szCs w:val="22"/>
        </w:rPr>
        <w:t>e</w:t>
      </w:r>
      <w:r w:rsidR="00D837FB">
        <w:rPr>
          <w:sz w:val="22"/>
          <w:szCs w:val="22"/>
        </w:rPr>
        <w:t xml:space="preserve"> CTG</w:t>
      </w:r>
      <w:r>
        <w:rPr>
          <w:sz w:val="22"/>
          <w:szCs w:val="22"/>
        </w:rPr>
        <w:t xml:space="preserve">, pursuant to </w:t>
      </w:r>
      <w:r>
        <w:rPr>
          <w:b/>
          <w:sz w:val="22"/>
          <w:szCs w:val="22"/>
        </w:rPr>
        <w:t xml:space="preserve">Specific Condition </w:t>
      </w:r>
      <w:r w:rsidR="006156B8">
        <w:fldChar w:fldCharType="begin"/>
      </w:r>
      <w:r w:rsidR="006156B8">
        <w:rPr>
          <w:b/>
          <w:sz w:val="22"/>
          <w:szCs w:val="22"/>
        </w:rPr>
        <w:instrText xml:space="preserve"> REF _Ref511649437 \r \h </w:instrText>
      </w:r>
      <w:r w:rsidR="006156B8">
        <w:fldChar w:fldCharType="separate"/>
      </w:r>
      <w:r w:rsidR="006D04C9">
        <w:rPr>
          <w:b/>
          <w:sz w:val="22"/>
          <w:szCs w:val="22"/>
        </w:rPr>
        <w:t>7</w:t>
      </w:r>
      <w:r w:rsidR="006156B8">
        <w:fldChar w:fldCharType="end"/>
      </w:r>
      <w:r>
        <w:rPr>
          <w:sz w:val="22"/>
          <w:szCs w:val="22"/>
        </w:rPr>
        <w:t xml:space="preserve">.  If measured CO emissions in the non-base-load stack test are greater than the CO limit, this shall not constitute a failed stack test; rather, the permittee shall conduct non-base-load testing until the load at which compliance is demonstrated can be determined.  </w:t>
      </w:r>
      <w:r>
        <w:rPr>
          <w:i/>
          <w:sz w:val="22"/>
          <w:szCs w:val="22"/>
        </w:rPr>
        <w:t xml:space="preserve">{Permitting </w:t>
      </w:r>
      <w:r w:rsidR="00751366">
        <w:rPr>
          <w:i/>
          <w:sz w:val="22"/>
          <w:szCs w:val="22"/>
        </w:rPr>
        <w:t>N</w:t>
      </w:r>
      <w:r>
        <w:rPr>
          <w:i/>
          <w:sz w:val="22"/>
          <w:szCs w:val="22"/>
        </w:rPr>
        <w:t xml:space="preserve">ote: The non-base-load CO test will </w:t>
      </w:r>
      <w:r>
        <w:rPr>
          <w:i/>
          <w:sz w:val="22"/>
          <w:szCs w:val="22"/>
          <w:u w:val="single"/>
        </w:rPr>
        <w:t>not</w:t>
      </w:r>
      <w:r>
        <w:rPr>
          <w:i/>
          <w:sz w:val="22"/>
          <w:szCs w:val="22"/>
        </w:rPr>
        <w:t xml:space="preserve"> be used to define the facility’s “testing capacity” for the purposes of Rule 62-297.310(3), F.A.C., or </w:t>
      </w:r>
      <w:r>
        <w:rPr>
          <w:b/>
          <w:i/>
          <w:sz w:val="22"/>
          <w:szCs w:val="22"/>
        </w:rPr>
        <w:t xml:space="preserve">Specific Condition </w:t>
      </w:r>
      <w:r w:rsidR="006156B8">
        <w:fldChar w:fldCharType="begin"/>
      </w:r>
      <w:r w:rsidR="006156B8">
        <w:rPr>
          <w:b/>
          <w:i/>
          <w:sz w:val="22"/>
          <w:szCs w:val="22"/>
        </w:rPr>
        <w:instrText xml:space="preserve"> REF _Ref511649517 \r \h </w:instrText>
      </w:r>
      <w:r w:rsidR="006156B8">
        <w:fldChar w:fldCharType="separate"/>
      </w:r>
      <w:r w:rsidR="006D04C9">
        <w:rPr>
          <w:b/>
          <w:i/>
          <w:sz w:val="22"/>
          <w:szCs w:val="22"/>
        </w:rPr>
        <w:t>10</w:t>
      </w:r>
      <w:r w:rsidR="006156B8">
        <w:fldChar w:fldCharType="end"/>
      </w:r>
      <w:r>
        <w:rPr>
          <w:i/>
          <w:sz w:val="22"/>
          <w:szCs w:val="22"/>
        </w:rPr>
        <w:t>.}</w:t>
      </w:r>
      <w:bookmarkEnd w:id="23"/>
    </w:p>
    <w:p w:rsidR="00F1455E" w:rsidRDefault="00F1455E" w:rsidP="00F1455E">
      <w:pPr>
        <w:spacing w:before="60"/>
        <w:ind w:left="720"/>
        <w:rPr>
          <w:i/>
          <w:sz w:val="22"/>
          <w:szCs w:val="22"/>
        </w:rPr>
      </w:pPr>
      <w:r>
        <w:rPr>
          <w:i/>
          <w:sz w:val="22"/>
          <w:szCs w:val="22"/>
        </w:rPr>
        <w:t xml:space="preserve">{Permitting </w:t>
      </w:r>
      <w:r w:rsidR="00823901">
        <w:rPr>
          <w:i/>
          <w:sz w:val="22"/>
          <w:szCs w:val="22"/>
        </w:rPr>
        <w:t>N</w:t>
      </w:r>
      <w:r>
        <w:rPr>
          <w:i/>
          <w:sz w:val="22"/>
          <w:szCs w:val="22"/>
        </w:rPr>
        <w:t>ote:  Consistent with Rule 62-297.310</w:t>
      </w:r>
      <w:r w:rsidR="00C363D2">
        <w:rPr>
          <w:i/>
          <w:sz w:val="22"/>
          <w:szCs w:val="22"/>
        </w:rPr>
        <w:t>(8)</w:t>
      </w:r>
      <w:r>
        <w:rPr>
          <w:i/>
          <w:sz w:val="22"/>
          <w:szCs w:val="22"/>
        </w:rPr>
        <w:t>(b)2, F.A.C., for the purposes of an air operation permit renewal, the owner or operator may utilize the most recent emissions test, provided such test occurred within the term of the current operation permit.}</w:t>
      </w:r>
    </w:p>
    <w:p w:rsidR="00F1455E" w:rsidRDefault="00F1455E" w:rsidP="00F1455E">
      <w:pPr>
        <w:spacing w:before="60"/>
        <w:ind w:left="360"/>
        <w:rPr>
          <w:sz w:val="22"/>
          <w:szCs w:val="22"/>
        </w:rPr>
      </w:pPr>
      <w:r>
        <w:rPr>
          <w:sz w:val="22"/>
          <w:szCs w:val="22"/>
        </w:rPr>
        <w:t>[Rules 62-4.070, 62-21</w:t>
      </w:r>
      <w:r w:rsidR="00AC4E0F">
        <w:rPr>
          <w:sz w:val="22"/>
          <w:szCs w:val="22"/>
        </w:rPr>
        <w:t>2</w:t>
      </w:r>
      <w:r>
        <w:rPr>
          <w:sz w:val="22"/>
          <w:szCs w:val="22"/>
        </w:rPr>
        <w:t>.</w:t>
      </w:r>
      <w:r w:rsidR="00AC4E0F">
        <w:rPr>
          <w:sz w:val="22"/>
          <w:szCs w:val="22"/>
        </w:rPr>
        <w:t>4</w:t>
      </w:r>
      <w:r>
        <w:rPr>
          <w:sz w:val="22"/>
          <w:szCs w:val="22"/>
        </w:rPr>
        <w:t>00(BACT), and 62-297.310(8)(a)4, F.A.C.]</w:t>
      </w:r>
    </w:p>
    <w:p w:rsidR="00F1455E" w:rsidRDefault="00F1455E" w:rsidP="0012609A">
      <w:pPr>
        <w:numPr>
          <w:ilvl w:val="0"/>
          <w:numId w:val="2"/>
        </w:numPr>
        <w:suppressAutoHyphens/>
        <w:spacing w:before="120" w:after="120"/>
        <w:rPr>
          <w:sz w:val="22"/>
          <w:szCs w:val="22"/>
        </w:rPr>
      </w:pPr>
      <w:r>
        <w:rPr>
          <w:sz w:val="22"/>
          <w:szCs w:val="22"/>
          <w:u w:val="single"/>
        </w:rPr>
        <w:t>Continuous Compliance</w:t>
      </w:r>
      <w:r>
        <w:rPr>
          <w:sz w:val="22"/>
          <w:szCs w:val="22"/>
        </w:rPr>
        <w:t>:  Continuous compliance with the permit standard for emissions of NO</w:t>
      </w:r>
      <w:r>
        <w:rPr>
          <w:sz w:val="22"/>
          <w:szCs w:val="22"/>
          <w:vertAlign w:val="subscript"/>
        </w:rPr>
        <w:t>X</w:t>
      </w:r>
      <w:r>
        <w:rPr>
          <w:sz w:val="22"/>
          <w:szCs w:val="22"/>
        </w:rPr>
        <w:t xml:space="preserve"> shall be demonstrated with data collected from the required CEMS.  [Rules 62-4.070, and 62-21</w:t>
      </w:r>
      <w:r w:rsidR="00F44753">
        <w:rPr>
          <w:sz w:val="22"/>
          <w:szCs w:val="22"/>
        </w:rPr>
        <w:t>2</w:t>
      </w:r>
      <w:r>
        <w:rPr>
          <w:sz w:val="22"/>
          <w:szCs w:val="22"/>
        </w:rPr>
        <w:t>.</w:t>
      </w:r>
      <w:r w:rsidR="00F44753">
        <w:rPr>
          <w:sz w:val="22"/>
          <w:szCs w:val="22"/>
        </w:rPr>
        <w:t>4</w:t>
      </w:r>
      <w:r>
        <w:rPr>
          <w:sz w:val="22"/>
          <w:szCs w:val="22"/>
        </w:rPr>
        <w:t>00(BACT), F.A.C.]</w:t>
      </w:r>
    </w:p>
    <w:p w:rsidR="00E649B6" w:rsidRDefault="00E649B6" w:rsidP="00E649B6">
      <w:pPr>
        <w:numPr>
          <w:ilvl w:val="0"/>
          <w:numId w:val="2"/>
        </w:numPr>
        <w:spacing w:after="120"/>
        <w:rPr>
          <w:sz w:val="22"/>
          <w:szCs w:val="22"/>
        </w:rPr>
      </w:pPr>
      <w:r w:rsidRPr="00845DA5">
        <w:rPr>
          <w:sz w:val="22"/>
          <w:szCs w:val="22"/>
          <w:u w:val="single"/>
        </w:rPr>
        <w:t>Test Methods</w:t>
      </w:r>
      <w:r w:rsidRPr="00845DA5">
        <w:rPr>
          <w:sz w:val="22"/>
          <w:szCs w:val="22"/>
        </w:rPr>
        <w:t>:  Required tests shall be performed in accordance with the following reference methods.</w:t>
      </w:r>
    </w:p>
    <w:tbl>
      <w:tblPr>
        <w:tblW w:w="9327" w:type="dxa"/>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407"/>
        <w:gridCol w:w="7920"/>
      </w:tblGrid>
      <w:tr w:rsidR="00E649B6" w:rsidRPr="00B41709" w:rsidTr="007851D3">
        <w:trPr>
          <w:tblHeader/>
        </w:trPr>
        <w:tc>
          <w:tcPr>
            <w:tcW w:w="1407" w:type="dxa"/>
            <w:tcBorders>
              <w:bottom w:val="single" w:sz="12" w:space="0" w:color="auto"/>
            </w:tcBorders>
            <w:shd w:val="clear" w:color="auto" w:fill="B8CCE4"/>
          </w:tcPr>
          <w:p w:rsidR="00E649B6" w:rsidRPr="00B41709" w:rsidRDefault="00E649B6" w:rsidP="007851D3">
            <w:pPr>
              <w:jc w:val="center"/>
              <w:rPr>
                <w:b/>
              </w:rPr>
            </w:pPr>
            <w:r w:rsidRPr="00B41709">
              <w:rPr>
                <w:b/>
              </w:rPr>
              <w:lastRenderedPageBreak/>
              <w:t>Method</w:t>
            </w:r>
          </w:p>
        </w:tc>
        <w:tc>
          <w:tcPr>
            <w:tcW w:w="7920" w:type="dxa"/>
            <w:tcBorders>
              <w:bottom w:val="single" w:sz="12" w:space="0" w:color="auto"/>
            </w:tcBorders>
            <w:shd w:val="clear" w:color="auto" w:fill="B8CCE4"/>
          </w:tcPr>
          <w:p w:rsidR="00E649B6" w:rsidRPr="00B41709" w:rsidRDefault="00E649B6" w:rsidP="007851D3">
            <w:pPr>
              <w:rPr>
                <w:b/>
              </w:rPr>
            </w:pPr>
            <w:r w:rsidRPr="00B41709">
              <w:rPr>
                <w:b/>
              </w:rPr>
              <w:t>Description of Method and Comments</w:t>
            </w:r>
          </w:p>
        </w:tc>
      </w:tr>
      <w:tr w:rsidR="00E649B6" w:rsidRPr="00B41709" w:rsidTr="007851D3">
        <w:tc>
          <w:tcPr>
            <w:tcW w:w="1407" w:type="dxa"/>
            <w:tcBorders>
              <w:bottom w:val="single" w:sz="4" w:space="0" w:color="auto"/>
            </w:tcBorders>
          </w:tcPr>
          <w:p w:rsidR="00E649B6" w:rsidRPr="00B41709" w:rsidRDefault="00E649B6" w:rsidP="007851D3">
            <w:pPr>
              <w:jc w:val="center"/>
            </w:pPr>
            <w:r w:rsidRPr="00B41709">
              <w:t>1-4</w:t>
            </w:r>
          </w:p>
        </w:tc>
        <w:tc>
          <w:tcPr>
            <w:tcW w:w="7920" w:type="dxa"/>
            <w:tcBorders>
              <w:bottom w:val="single" w:sz="4" w:space="0" w:color="auto"/>
            </w:tcBorders>
          </w:tcPr>
          <w:p w:rsidR="00E649B6" w:rsidRPr="00B41709" w:rsidRDefault="00E649B6" w:rsidP="007851D3">
            <w:r w:rsidRPr="00B41709">
              <w:t>Traverse Points, Velocity and Flow Rate, Gas Analysis, and Moisture Content</w:t>
            </w:r>
          </w:p>
        </w:tc>
      </w:tr>
      <w:tr w:rsidR="00E649B6" w:rsidRPr="00B41709" w:rsidTr="007851D3">
        <w:tc>
          <w:tcPr>
            <w:tcW w:w="1407" w:type="dxa"/>
            <w:tcBorders>
              <w:top w:val="single" w:sz="4" w:space="0" w:color="auto"/>
              <w:bottom w:val="single" w:sz="8" w:space="0" w:color="auto"/>
            </w:tcBorders>
            <w:vAlign w:val="center"/>
          </w:tcPr>
          <w:p w:rsidR="00E649B6" w:rsidRPr="0024421B" w:rsidRDefault="00E649B6" w:rsidP="007851D3">
            <w:pPr>
              <w:jc w:val="center"/>
            </w:pPr>
            <w:r w:rsidRPr="0024421B">
              <w:t>3A</w:t>
            </w:r>
          </w:p>
        </w:tc>
        <w:tc>
          <w:tcPr>
            <w:tcW w:w="7920" w:type="dxa"/>
            <w:tcBorders>
              <w:top w:val="single" w:sz="4" w:space="0" w:color="auto"/>
              <w:bottom w:val="single" w:sz="8" w:space="0" w:color="auto"/>
            </w:tcBorders>
          </w:tcPr>
          <w:p w:rsidR="00E649B6" w:rsidRDefault="00E649B6" w:rsidP="007851D3">
            <w:r w:rsidRPr="0024421B">
              <w:t>Determination of Oxygen and Carbon Dioxide Concentrations in Emissions from Stationary Sources</w:t>
            </w:r>
          </w:p>
        </w:tc>
      </w:tr>
      <w:tr w:rsidR="00E649B6" w:rsidRPr="00B41709" w:rsidTr="007851D3">
        <w:tc>
          <w:tcPr>
            <w:tcW w:w="1407" w:type="dxa"/>
            <w:tcBorders>
              <w:top w:val="single" w:sz="8" w:space="0" w:color="auto"/>
              <w:bottom w:val="single" w:sz="8" w:space="0" w:color="auto"/>
            </w:tcBorders>
          </w:tcPr>
          <w:p w:rsidR="00E649B6" w:rsidRPr="00B41709" w:rsidRDefault="00E649B6" w:rsidP="007851D3">
            <w:pPr>
              <w:jc w:val="center"/>
            </w:pPr>
            <w:r w:rsidRPr="00B41709">
              <w:t>7E</w:t>
            </w:r>
          </w:p>
        </w:tc>
        <w:tc>
          <w:tcPr>
            <w:tcW w:w="7920" w:type="dxa"/>
            <w:tcBorders>
              <w:top w:val="single" w:sz="8" w:space="0" w:color="auto"/>
              <w:bottom w:val="single" w:sz="8" w:space="0" w:color="auto"/>
            </w:tcBorders>
          </w:tcPr>
          <w:p w:rsidR="00E649B6" w:rsidRPr="00B41709" w:rsidRDefault="00E649B6" w:rsidP="007851D3">
            <w:r w:rsidRPr="00B41709">
              <w:t>Determination of Nitrogen Oxide Emissions from Stationary Sources</w:t>
            </w:r>
          </w:p>
        </w:tc>
      </w:tr>
      <w:tr w:rsidR="00E649B6" w:rsidRPr="00B41709" w:rsidTr="007851D3">
        <w:tc>
          <w:tcPr>
            <w:tcW w:w="1407" w:type="dxa"/>
            <w:tcBorders>
              <w:top w:val="single" w:sz="8" w:space="0" w:color="auto"/>
              <w:bottom w:val="single" w:sz="8" w:space="0" w:color="auto"/>
            </w:tcBorders>
          </w:tcPr>
          <w:p w:rsidR="00E649B6" w:rsidRPr="00B41709" w:rsidRDefault="00E649B6" w:rsidP="007851D3">
            <w:pPr>
              <w:jc w:val="center"/>
            </w:pPr>
            <w:r w:rsidRPr="00B41709">
              <w:t>9</w:t>
            </w:r>
          </w:p>
        </w:tc>
        <w:tc>
          <w:tcPr>
            <w:tcW w:w="7920" w:type="dxa"/>
            <w:tcBorders>
              <w:top w:val="single" w:sz="8" w:space="0" w:color="auto"/>
              <w:bottom w:val="single" w:sz="8" w:space="0" w:color="auto"/>
            </w:tcBorders>
          </w:tcPr>
          <w:p w:rsidR="00E649B6" w:rsidRPr="00B41709" w:rsidRDefault="00E649B6" w:rsidP="007851D3">
            <w:r w:rsidRPr="00B41709">
              <w:t>Visual Determination of the Opacity of Emissions from Stationary Sources</w:t>
            </w:r>
          </w:p>
        </w:tc>
      </w:tr>
      <w:tr w:rsidR="00E649B6" w:rsidRPr="00B41709" w:rsidTr="007851D3">
        <w:tc>
          <w:tcPr>
            <w:tcW w:w="1407" w:type="dxa"/>
            <w:tcBorders>
              <w:top w:val="single" w:sz="8" w:space="0" w:color="auto"/>
              <w:bottom w:val="single" w:sz="8" w:space="0" w:color="auto"/>
            </w:tcBorders>
          </w:tcPr>
          <w:p w:rsidR="00E649B6" w:rsidRPr="00B41709" w:rsidRDefault="00E649B6" w:rsidP="007851D3">
            <w:pPr>
              <w:jc w:val="center"/>
            </w:pPr>
            <w:r>
              <w:t>10</w:t>
            </w:r>
          </w:p>
        </w:tc>
        <w:tc>
          <w:tcPr>
            <w:tcW w:w="7920" w:type="dxa"/>
            <w:tcBorders>
              <w:top w:val="single" w:sz="8" w:space="0" w:color="auto"/>
              <w:bottom w:val="single" w:sz="8" w:space="0" w:color="auto"/>
            </w:tcBorders>
          </w:tcPr>
          <w:p w:rsidR="00E649B6" w:rsidRPr="00B41709" w:rsidRDefault="00E649B6" w:rsidP="007851D3">
            <w:r>
              <w:t>Determination of Carbon Monoxide Emissions from Stationary Sources</w:t>
            </w:r>
          </w:p>
        </w:tc>
      </w:tr>
      <w:tr w:rsidR="00E649B6" w:rsidRPr="00B41709" w:rsidTr="001E6356">
        <w:tc>
          <w:tcPr>
            <w:tcW w:w="1407" w:type="dxa"/>
            <w:tcBorders>
              <w:top w:val="single" w:sz="8" w:space="0" w:color="auto"/>
              <w:bottom w:val="single" w:sz="12" w:space="0" w:color="auto"/>
            </w:tcBorders>
            <w:vAlign w:val="center"/>
          </w:tcPr>
          <w:p w:rsidR="00E649B6" w:rsidRPr="00160646" w:rsidRDefault="00E649B6" w:rsidP="007851D3">
            <w:pPr>
              <w:jc w:val="center"/>
            </w:pPr>
            <w:r w:rsidRPr="00160646">
              <w:t>20</w:t>
            </w:r>
          </w:p>
        </w:tc>
        <w:tc>
          <w:tcPr>
            <w:tcW w:w="7920" w:type="dxa"/>
            <w:tcBorders>
              <w:top w:val="single" w:sz="8" w:space="0" w:color="auto"/>
              <w:bottom w:val="single" w:sz="12" w:space="0" w:color="auto"/>
            </w:tcBorders>
          </w:tcPr>
          <w:p w:rsidR="00E649B6" w:rsidRDefault="00E649B6" w:rsidP="007851D3">
            <w:r w:rsidRPr="00160646">
              <w:t>Determination of NO</w:t>
            </w:r>
            <w:r w:rsidRPr="00657DB5">
              <w:rPr>
                <w:vertAlign w:val="subscript"/>
              </w:rPr>
              <w:t>X</w:t>
            </w:r>
            <w:r w:rsidRPr="00160646">
              <w:t>, Sulfur Dioxide, and Diluent Emissions from Stationary Gas Turbines</w:t>
            </w:r>
          </w:p>
        </w:tc>
      </w:tr>
    </w:tbl>
    <w:p w:rsidR="00F1455E" w:rsidRDefault="00E649B6" w:rsidP="00E649B6">
      <w:pPr>
        <w:suppressAutoHyphens/>
        <w:spacing w:before="120" w:after="120"/>
        <w:ind w:left="360"/>
        <w:rPr>
          <w:sz w:val="22"/>
          <w:szCs w:val="22"/>
        </w:rPr>
      </w:pPr>
      <w:bookmarkStart w:id="24" w:name="_Hlk512511462"/>
      <w:r w:rsidRPr="00845DA5">
        <w:rPr>
          <w:sz w:val="22"/>
          <w:szCs w:val="22"/>
        </w:rPr>
        <w:t xml:space="preserve">The above methods are described in Appendix A </w:t>
      </w:r>
      <w:r>
        <w:rPr>
          <w:sz w:val="22"/>
          <w:szCs w:val="22"/>
        </w:rPr>
        <w:t xml:space="preserve">of </w:t>
      </w:r>
      <w:r w:rsidRPr="00845DA5">
        <w:rPr>
          <w:sz w:val="22"/>
          <w:szCs w:val="22"/>
        </w:rPr>
        <w:t xml:space="preserve">40 CFR 60 and </w:t>
      </w:r>
      <w:r>
        <w:rPr>
          <w:sz w:val="22"/>
          <w:szCs w:val="22"/>
        </w:rPr>
        <w:t xml:space="preserve">are </w:t>
      </w:r>
      <w:r w:rsidRPr="00845DA5">
        <w:rPr>
          <w:sz w:val="22"/>
          <w:szCs w:val="22"/>
        </w:rPr>
        <w:t>adopted by reference in Rule 62-204.800, F.A.C.</w:t>
      </w:r>
      <w:r>
        <w:rPr>
          <w:sz w:val="22"/>
          <w:szCs w:val="22"/>
        </w:rPr>
        <w:t xml:space="preserve">  No other methods may be used unless prior written approval is received from the Department.</w:t>
      </w:r>
      <w:r w:rsidR="00CB0F3A">
        <w:rPr>
          <w:sz w:val="22"/>
          <w:szCs w:val="22"/>
        </w:rPr>
        <w:t xml:space="preserve">  [Rule</w:t>
      </w:r>
      <w:r w:rsidRPr="00845DA5">
        <w:rPr>
          <w:sz w:val="22"/>
          <w:szCs w:val="22"/>
        </w:rPr>
        <w:t xml:space="preserve"> 62-204.800, F.A.C.; </w:t>
      </w:r>
      <w:r>
        <w:rPr>
          <w:sz w:val="22"/>
          <w:szCs w:val="22"/>
        </w:rPr>
        <w:t xml:space="preserve">and Appendix A of </w:t>
      </w:r>
      <w:r w:rsidRPr="00845DA5">
        <w:rPr>
          <w:sz w:val="22"/>
          <w:szCs w:val="22"/>
        </w:rPr>
        <w:t>40 CFR 60]</w:t>
      </w:r>
      <w:bookmarkEnd w:id="24"/>
    </w:p>
    <w:p w:rsidR="00F1455E" w:rsidRDefault="00F1455E" w:rsidP="00F1455E">
      <w:pPr>
        <w:spacing w:after="120"/>
        <w:rPr>
          <w:b/>
          <w:caps/>
          <w:color w:val="000000"/>
          <w:sz w:val="22"/>
          <w:szCs w:val="22"/>
        </w:rPr>
      </w:pPr>
      <w:r>
        <w:rPr>
          <w:b/>
          <w:caps/>
          <w:color w:val="000000"/>
          <w:sz w:val="22"/>
          <w:szCs w:val="22"/>
        </w:rPr>
        <w:t>PRIMARY A</w:t>
      </w:r>
      <w:r w:rsidR="00FC5D5C">
        <w:rPr>
          <w:b/>
          <w:caps/>
          <w:color w:val="000000"/>
          <w:sz w:val="22"/>
          <w:szCs w:val="22"/>
        </w:rPr>
        <w:t>ND SECONDARY bact APPLICABILITY</w:t>
      </w:r>
    </w:p>
    <w:p w:rsidR="00F1455E" w:rsidRDefault="00F1455E" w:rsidP="00F1455E">
      <w:pPr>
        <w:widowControl w:val="0"/>
        <w:spacing w:after="120"/>
        <w:rPr>
          <w:i/>
          <w:iCs/>
          <w:sz w:val="22"/>
          <w:szCs w:val="22"/>
        </w:rPr>
      </w:pPr>
      <w:r>
        <w:rPr>
          <w:i/>
          <w:iCs/>
          <w:sz w:val="22"/>
          <w:szCs w:val="22"/>
        </w:rPr>
        <w:t xml:space="preserve">{Permitting Note:  The following conditions apply only to the State Implementation Plan (SIP)-based emissions standards in </w:t>
      </w:r>
      <w:r>
        <w:rPr>
          <w:b/>
          <w:i/>
          <w:iCs/>
          <w:sz w:val="22"/>
          <w:szCs w:val="22"/>
        </w:rPr>
        <w:t xml:space="preserve">Specific Condition </w:t>
      </w:r>
      <w:r w:rsidR="006156B8">
        <w:fldChar w:fldCharType="begin"/>
      </w:r>
      <w:r w:rsidR="006156B8">
        <w:rPr>
          <w:b/>
          <w:sz w:val="22"/>
          <w:szCs w:val="22"/>
        </w:rPr>
        <w:instrText xml:space="preserve"> REF _Ref511649349 \r \h </w:instrText>
      </w:r>
      <w:r w:rsidR="006156B8">
        <w:fldChar w:fldCharType="separate"/>
      </w:r>
      <w:r w:rsidR="006D04C9">
        <w:rPr>
          <w:b/>
          <w:sz w:val="22"/>
          <w:szCs w:val="22"/>
        </w:rPr>
        <w:t>8</w:t>
      </w:r>
      <w:r w:rsidR="006156B8">
        <w:fldChar w:fldCharType="end"/>
      </w:r>
      <w:r>
        <w:rPr>
          <w:i/>
          <w:iCs/>
          <w:sz w:val="22"/>
          <w:szCs w:val="22"/>
        </w:rPr>
        <w:t xml:space="preserve"> </w:t>
      </w:r>
      <w:r>
        <w:rPr>
          <w:i/>
          <w:iCs/>
          <w:sz w:val="22"/>
          <w:szCs w:val="22"/>
        </w:rPr>
        <w:fldChar w:fldCharType="begin"/>
      </w:r>
      <w:r>
        <w:rPr>
          <w:i/>
          <w:iCs/>
          <w:sz w:val="22"/>
          <w:szCs w:val="22"/>
        </w:rPr>
        <w:instrText xml:space="preserve"> REF EmissionStandards \h  \* MERGEFORMAT </w:instrText>
      </w:r>
      <w:r>
        <w:rPr>
          <w:i/>
          <w:iCs/>
          <w:sz w:val="22"/>
          <w:szCs w:val="22"/>
        </w:rPr>
      </w:r>
      <w:r>
        <w:rPr>
          <w:i/>
          <w:iCs/>
          <w:sz w:val="22"/>
          <w:szCs w:val="22"/>
        </w:rPr>
        <w:fldChar w:fldCharType="end"/>
      </w:r>
      <w:r>
        <w:rPr>
          <w:i/>
          <w:iCs/>
          <w:sz w:val="22"/>
          <w:szCs w:val="22"/>
        </w:rPr>
        <w:t>of this subsection.  Rule 62</w:t>
      </w:r>
      <w:r>
        <w:rPr>
          <w:i/>
          <w:iCs/>
          <w:sz w:val="22"/>
          <w:szCs w:val="22"/>
        </w:rPr>
        <w:noBreakHyphen/>
        <w:t>210.700, F.A.C. (Excess Emissions) cannot vary or supersede any federal provision of the NSPS</w:t>
      </w:r>
      <w:r w:rsidR="00E12375">
        <w:rPr>
          <w:i/>
          <w:iCs/>
          <w:sz w:val="22"/>
          <w:szCs w:val="22"/>
        </w:rPr>
        <w:t xml:space="preserve"> </w:t>
      </w:r>
      <w:r>
        <w:rPr>
          <w:i/>
          <w:iCs/>
          <w:sz w:val="22"/>
          <w:szCs w:val="22"/>
        </w:rPr>
        <w:t>or Acid Rain programs.}</w:t>
      </w:r>
    </w:p>
    <w:p w:rsidR="00F1455E" w:rsidRDefault="00F1455E" w:rsidP="0017609E">
      <w:pPr>
        <w:numPr>
          <w:ilvl w:val="0"/>
          <w:numId w:val="2"/>
        </w:numPr>
        <w:suppressAutoHyphens/>
        <w:spacing w:after="120"/>
        <w:rPr>
          <w:sz w:val="22"/>
          <w:szCs w:val="22"/>
          <w:u w:val="single"/>
        </w:rPr>
      </w:pPr>
      <w:r>
        <w:rPr>
          <w:sz w:val="22"/>
          <w:szCs w:val="22"/>
          <w:u w:val="single"/>
        </w:rPr>
        <w:t>Definitions</w:t>
      </w:r>
      <w:r>
        <w:rPr>
          <w:sz w:val="22"/>
          <w:szCs w:val="22"/>
        </w:rPr>
        <w:t>:</w:t>
      </w:r>
    </w:p>
    <w:p w:rsidR="00F1455E" w:rsidRDefault="00F1455E" w:rsidP="0017609E">
      <w:pPr>
        <w:numPr>
          <w:ilvl w:val="2"/>
          <w:numId w:val="17"/>
        </w:numPr>
        <w:spacing w:after="60"/>
        <w:ind w:left="720"/>
        <w:rPr>
          <w:sz w:val="22"/>
          <w:szCs w:val="22"/>
        </w:rPr>
      </w:pPr>
      <w:r>
        <w:rPr>
          <w:i/>
          <w:iCs/>
          <w:sz w:val="22"/>
          <w:szCs w:val="22"/>
        </w:rPr>
        <w:t>Startup</w:t>
      </w:r>
      <w:r>
        <w:rPr>
          <w:sz w:val="22"/>
          <w:szCs w:val="22"/>
        </w:rPr>
        <w:t xml:space="preserve"> is defined as the commencement of operation of any emissions unit which has shut down or ceased operation for </w:t>
      </w:r>
      <w:proofErr w:type="gramStart"/>
      <w:r>
        <w:rPr>
          <w:sz w:val="22"/>
          <w:szCs w:val="22"/>
        </w:rPr>
        <w:t>a period of time</w:t>
      </w:r>
      <w:proofErr w:type="gramEnd"/>
      <w:r>
        <w:rPr>
          <w:sz w:val="22"/>
          <w:szCs w:val="22"/>
        </w:rPr>
        <w:t xml:space="preserve"> sufficient to cause temperature, pressure, chemical or pollution control device imbalances, </w:t>
      </w:r>
      <w:r w:rsidRPr="00412181">
        <w:rPr>
          <w:sz w:val="22"/>
          <w:szCs w:val="22"/>
        </w:rPr>
        <w:t xml:space="preserve">which </w:t>
      </w:r>
      <w:r w:rsidR="00AD58B6" w:rsidRPr="00412181">
        <w:rPr>
          <w:sz w:val="22"/>
          <w:szCs w:val="22"/>
        </w:rPr>
        <w:t xml:space="preserve">may </w:t>
      </w:r>
      <w:r w:rsidRPr="00412181">
        <w:rPr>
          <w:sz w:val="22"/>
          <w:szCs w:val="22"/>
        </w:rPr>
        <w:t>result in excess emissions</w:t>
      </w:r>
      <w:r>
        <w:rPr>
          <w:sz w:val="22"/>
          <w:szCs w:val="22"/>
        </w:rPr>
        <w:t>.</w:t>
      </w:r>
    </w:p>
    <w:p w:rsidR="00F1455E" w:rsidRDefault="00F1455E" w:rsidP="0017609E">
      <w:pPr>
        <w:numPr>
          <w:ilvl w:val="2"/>
          <w:numId w:val="17"/>
        </w:numPr>
        <w:spacing w:after="60"/>
        <w:ind w:left="720"/>
        <w:rPr>
          <w:sz w:val="22"/>
          <w:szCs w:val="22"/>
        </w:rPr>
      </w:pPr>
      <w:r>
        <w:rPr>
          <w:i/>
          <w:iCs/>
          <w:sz w:val="22"/>
          <w:szCs w:val="22"/>
        </w:rPr>
        <w:t>Shutdown</w:t>
      </w:r>
      <w:r>
        <w:rPr>
          <w:sz w:val="22"/>
          <w:szCs w:val="22"/>
        </w:rPr>
        <w:t xml:space="preserve"> is the cessation of the operation of an emissions unit for any purpose.</w:t>
      </w:r>
    </w:p>
    <w:p w:rsidR="00F1455E" w:rsidRDefault="00F1455E" w:rsidP="0017609E">
      <w:pPr>
        <w:numPr>
          <w:ilvl w:val="2"/>
          <w:numId w:val="17"/>
        </w:numPr>
        <w:spacing w:after="60"/>
        <w:ind w:left="720"/>
        <w:rPr>
          <w:sz w:val="22"/>
          <w:szCs w:val="22"/>
        </w:rPr>
      </w:pPr>
      <w:r>
        <w:rPr>
          <w:i/>
          <w:iCs/>
          <w:sz w:val="22"/>
          <w:szCs w:val="22"/>
        </w:rPr>
        <w:t>Malfunction</w:t>
      </w:r>
      <w:r>
        <w:rPr>
          <w:sz w:val="22"/>
          <w:szCs w:val="22"/>
        </w:rPr>
        <w:t xml:space="preserve"> is defined as any unavoidable mechanical and/or electrical failure of air pollution control equipment or process equipment or of a process resulting in operation in an abnormal or unusual manner.</w:t>
      </w:r>
    </w:p>
    <w:p w:rsidR="00F1455E" w:rsidRDefault="00F1455E" w:rsidP="00F1455E">
      <w:pPr>
        <w:spacing w:after="120"/>
        <w:ind w:left="360"/>
        <w:rPr>
          <w:sz w:val="22"/>
          <w:szCs w:val="22"/>
        </w:rPr>
      </w:pPr>
      <w:r>
        <w:rPr>
          <w:sz w:val="22"/>
          <w:szCs w:val="22"/>
        </w:rPr>
        <w:t>[Rule 62-210.200(1</w:t>
      </w:r>
      <w:r w:rsidR="00F65808">
        <w:rPr>
          <w:sz w:val="22"/>
          <w:szCs w:val="22"/>
        </w:rPr>
        <w:t>73</w:t>
      </w:r>
      <w:r>
        <w:rPr>
          <w:sz w:val="22"/>
          <w:szCs w:val="22"/>
        </w:rPr>
        <w:t>, 2</w:t>
      </w:r>
      <w:r w:rsidR="00F65808">
        <w:rPr>
          <w:sz w:val="22"/>
          <w:szCs w:val="22"/>
        </w:rPr>
        <w:t>55</w:t>
      </w:r>
      <w:r>
        <w:rPr>
          <w:sz w:val="22"/>
          <w:szCs w:val="22"/>
        </w:rPr>
        <w:t>, and 2</w:t>
      </w:r>
      <w:r w:rsidR="00F65808">
        <w:rPr>
          <w:sz w:val="22"/>
          <w:szCs w:val="22"/>
        </w:rPr>
        <w:t>69</w:t>
      </w:r>
      <w:r>
        <w:rPr>
          <w:sz w:val="22"/>
          <w:szCs w:val="22"/>
        </w:rPr>
        <w:t>), F.A.C.]</w:t>
      </w:r>
    </w:p>
    <w:p w:rsidR="00F1455E" w:rsidRDefault="00F1455E" w:rsidP="0017609E">
      <w:pPr>
        <w:numPr>
          <w:ilvl w:val="0"/>
          <w:numId w:val="2"/>
        </w:numPr>
        <w:suppressAutoHyphens/>
        <w:spacing w:after="120"/>
        <w:rPr>
          <w:sz w:val="22"/>
          <w:szCs w:val="22"/>
          <w:u w:val="single"/>
        </w:rPr>
      </w:pPr>
      <w:r>
        <w:rPr>
          <w:sz w:val="22"/>
          <w:szCs w:val="22"/>
          <w:u w:val="single"/>
        </w:rPr>
        <w:t>Excess Emissions Prohibited</w:t>
      </w:r>
      <w:r>
        <w:rPr>
          <w:sz w:val="22"/>
          <w:szCs w:val="22"/>
        </w:rPr>
        <w:t>:  Excess emissions caused entirely or in part by poor maintenance, poor operation or any other equipment or process failure that may reasonably be prevented during startup, shutdown or malfunction shall be prohibited.  All such preventable emissions shall be included in any compliance determinations based on CEMS data.  [Rule 62-210.700(</w:t>
      </w:r>
      <w:r w:rsidR="00E719B7">
        <w:rPr>
          <w:sz w:val="22"/>
          <w:szCs w:val="22"/>
        </w:rPr>
        <w:t>1</w:t>
      </w:r>
      <w:r>
        <w:rPr>
          <w:sz w:val="22"/>
          <w:szCs w:val="22"/>
        </w:rPr>
        <w:t>), F.A.C.]</w:t>
      </w:r>
    </w:p>
    <w:p w:rsidR="00F1455E" w:rsidRPr="00601E35" w:rsidRDefault="00F1455E" w:rsidP="0017609E">
      <w:pPr>
        <w:numPr>
          <w:ilvl w:val="0"/>
          <w:numId w:val="2"/>
        </w:numPr>
        <w:suppressAutoHyphens/>
        <w:spacing w:after="120"/>
        <w:rPr>
          <w:iCs/>
          <w:sz w:val="22"/>
          <w:szCs w:val="22"/>
        </w:rPr>
      </w:pPr>
      <w:bookmarkStart w:id="25" w:name="_Ref421786096"/>
      <w:bookmarkStart w:id="26" w:name="OLE_LINK4"/>
      <w:bookmarkStart w:id="27" w:name="OLE_LINK3"/>
      <w:r>
        <w:rPr>
          <w:sz w:val="22"/>
          <w:szCs w:val="22"/>
          <w:u w:val="single"/>
        </w:rPr>
        <w:t>Demonstration of Compliance with Primary NO</w:t>
      </w:r>
      <w:r>
        <w:rPr>
          <w:sz w:val="22"/>
          <w:szCs w:val="22"/>
          <w:u w:val="single"/>
          <w:vertAlign w:val="subscript"/>
        </w:rPr>
        <w:t>X</w:t>
      </w:r>
      <w:r>
        <w:rPr>
          <w:sz w:val="22"/>
          <w:szCs w:val="22"/>
          <w:u w:val="single"/>
        </w:rPr>
        <w:t xml:space="preserve"> and GHG BACT</w:t>
      </w:r>
      <w:r>
        <w:rPr>
          <w:sz w:val="22"/>
          <w:szCs w:val="22"/>
        </w:rPr>
        <w:t>:  The Primary NO</w:t>
      </w:r>
      <w:r>
        <w:rPr>
          <w:sz w:val="22"/>
          <w:szCs w:val="22"/>
          <w:vertAlign w:val="subscript"/>
        </w:rPr>
        <w:t>X</w:t>
      </w:r>
      <w:r>
        <w:rPr>
          <w:sz w:val="22"/>
          <w:szCs w:val="22"/>
        </w:rPr>
        <w:t xml:space="preserve"> and GHG BACT limits apply </w:t>
      </w:r>
      <w:proofErr w:type="gramStart"/>
      <w:r>
        <w:rPr>
          <w:sz w:val="22"/>
          <w:szCs w:val="22"/>
        </w:rPr>
        <w:t>at all times</w:t>
      </w:r>
      <w:proofErr w:type="gramEnd"/>
      <w:r>
        <w:rPr>
          <w:sz w:val="22"/>
          <w:szCs w:val="22"/>
        </w:rPr>
        <w:t>, except during the following operating conditions:</w:t>
      </w:r>
      <w:bookmarkEnd w:id="25"/>
    </w:p>
    <w:p w:rsidR="00F1455E" w:rsidRDefault="00F1455E" w:rsidP="0017609E">
      <w:pPr>
        <w:numPr>
          <w:ilvl w:val="1"/>
          <w:numId w:val="18"/>
        </w:numPr>
        <w:suppressAutoHyphens/>
        <w:spacing w:after="60"/>
        <w:rPr>
          <w:sz w:val="22"/>
          <w:szCs w:val="22"/>
        </w:rPr>
      </w:pPr>
      <w:bookmarkStart w:id="28" w:name="_Ref439860620"/>
      <w:bookmarkStart w:id="29" w:name="_Hlk511128878"/>
      <w:r>
        <w:rPr>
          <w:i/>
          <w:sz w:val="22"/>
          <w:szCs w:val="22"/>
        </w:rPr>
        <w:t xml:space="preserve">Steam Turbine Cold Startup:  </w:t>
      </w:r>
      <w:r>
        <w:rPr>
          <w:sz w:val="22"/>
          <w:szCs w:val="22"/>
        </w:rPr>
        <w:t>During a cold startup of the steam turbine, the Primary NO</w:t>
      </w:r>
      <w:r>
        <w:rPr>
          <w:sz w:val="22"/>
          <w:szCs w:val="22"/>
          <w:vertAlign w:val="subscript"/>
        </w:rPr>
        <w:t>X</w:t>
      </w:r>
      <w:r>
        <w:rPr>
          <w:sz w:val="22"/>
          <w:szCs w:val="22"/>
        </w:rPr>
        <w:t xml:space="preserve"> and GHG BACT emission limits do not apply to </w:t>
      </w:r>
      <w:r w:rsidR="007F26EA">
        <w:rPr>
          <w:sz w:val="22"/>
          <w:szCs w:val="22"/>
        </w:rPr>
        <w:t>the</w:t>
      </w:r>
      <w:r w:rsidR="004C3FEF">
        <w:rPr>
          <w:sz w:val="22"/>
          <w:szCs w:val="22"/>
        </w:rPr>
        <w:t xml:space="preserve"> CTG</w:t>
      </w:r>
      <w:r>
        <w:rPr>
          <w:sz w:val="22"/>
          <w:szCs w:val="22"/>
        </w:rPr>
        <w:t xml:space="preserve">/HRSG system, for no more than </w:t>
      </w:r>
      <w:r w:rsidR="00E27FDE">
        <w:rPr>
          <w:sz w:val="22"/>
          <w:szCs w:val="22"/>
        </w:rPr>
        <w:t>6</w:t>
      </w:r>
      <w:r>
        <w:rPr>
          <w:sz w:val="22"/>
          <w:szCs w:val="22"/>
        </w:rPr>
        <w:t xml:space="preserve"> hours during any 24-hour period.  A cold startup of the steam turbine is defined as startup of the </w:t>
      </w:r>
      <w:r w:rsidR="00E07E8B">
        <w:rPr>
          <w:sz w:val="22"/>
          <w:szCs w:val="22"/>
        </w:rPr>
        <w:t>1</w:t>
      </w:r>
      <w:r>
        <w:rPr>
          <w:sz w:val="22"/>
          <w:szCs w:val="22"/>
        </w:rPr>
        <w:t xml:space="preserve">-on-1 combined cycle system following a shutdown of the steam turbine lasting at least </w:t>
      </w:r>
      <w:r w:rsidR="00F657AA">
        <w:rPr>
          <w:sz w:val="22"/>
          <w:szCs w:val="22"/>
        </w:rPr>
        <w:t>72</w:t>
      </w:r>
      <w:r>
        <w:rPr>
          <w:sz w:val="22"/>
          <w:szCs w:val="22"/>
        </w:rPr>
        <w:t xml:space="preserve"> hours.</w:t>
      </w:r>
      <w:bookmarkEnd w:id="28"/>
    </w:p>
    <w:p w:rsidR="00F1455E" w:rsidRDefault="00F1455E" w:rsidP="00F1455E">
      <w:pPr>
        <w:suppressAutoHyphens/>
        <w:spacing w:after="60"/>
        <w:ind w:left="720"/>
        <w:rPr>
          <w:i/>
          <w:sz w:val="22"/>
          <w:szCs w:val="22"/>
        </w:rPr>
      </w:pPr>
      <w:r>
        <w:rPr>
          <w:i/>
          <w:sz w:val="22"/>
          <w:szCs w:val="22"/>
        </w:rPr>
        <w:t xml:space="preserve">{Permitting </w:t>
      </w:r>
      <w:r w:rsidR="00FB70EE">
        <w:rPr>
          <w:i/>
          <w:sz w:val="22"/>
          <w:szCs w:val="22"/>
        </w:rPr>
        <w:t>N</w:t>
      </w:r>
      <w:r>
        <w:rPr>
          <w:i/>
          <w:sz w:val="22"/>
          <w:szCs w:val="22"/>
        </w:rPr>
        <w:t xml:space="preserve">ote: During a cold startup of the steam turbine, </w:t>
      </w:r>
      <w:r w:rsidR="009B099A">
        <w:rPr>
          <w:i/>
          <w:sz w:val="22"/>
          <w:szCs w:val="22"/>
        </w:rPr>
        <w:t>the</w:t>
      </w:r>
      <w:r w:rsidR="004C3FEF">
        <w:rPr>
          <w:i/>
          <w:sz w:val="22"/>
          <w:szCs w:val="22"/>
        </w:rPr>
        <w:t xml:space="preserve"> CTG</w:t>
      </w:r>
      <w:r>
        <w:rPr>
          <w:i/>
          <w:sz w:val="22"/>
          <w:szCs w:val="22"/>
        </w:rPr>
        <w:t>/HRSG system is sequentially brought on line at low load to gradually increase the temperature of the steam turbine and prevent thermal metal fatigue or equipment materials differential expansion damage. Note that shutdowns and documented malfunctions are separately regulated in accordance with the requirements of this condition.}</w:t>
      </w:r>
    </w:p>
    <w:p w:rsidR="00F1455E" w:rsidRPr="00E27FDE" w:rsidRDefault="00F1455E" w:rsidP="003B60A2">
      <w:pPr>
        <w:numPr>
          <w:ilvl w:val="1"/>
          <w:numId w:val="18"/>
        </w:numPr>
        <w:suppressAutoHyphens/>
        <w:spacing w:after="60"/>
        <w:rPr>
          <w:sz w:val="22"/>
          <w:szCs w:val="22"/>
        </w:rPr>
      </w:pPr>
      <w:r w:rsidRPr="00E27FDE">
        <w:rPr>
          <w:i/>
          <w:sz w:val="22"/>
          <w:szCs w:val="22"/>
        </w:rPr>
        <w:t xml:space="preserve">CT/HRSG System Cold Startup:  </w:t>
      </w:r>
      <w:r w:rsidRPr="00E27FDE">
        <w:rPr>
          <w:sz w:val="22"/>
          <w:szCs w:val="22"/>
        </w:rPr>
        <w:t xml:space="preserve">During a cold startup of </w:t>
      </w:r>
      <w:r w:rsidR="00AF612C" w:rsidRPr="00E27FDE">
        <w:rPr>
          <w:sz w:val="22"/>
          <w:szCs w:val="22"/>
        </w:rPr>
        <w:t>the</w:t>
      </w:r>
      <w:r w:rsidR="004C3FEF" w:rsidRPr="00E27FDE">
        <w:rPr>
          <w:sz w:val="22"/>
          <w:szCs w:val="22"/>
        </w:rPr>
        <w:t xml:space="preserve"> CTG</w:t>
      </w:r>
      <w:r w:rsidRPr="00E27FDE">
        <w:rPr>
          <w:sz w:val="22"/>
          <w:szCs w:val="22"/>
        </w:rPr>
        <w:t>/HRSG system, the Primary NO</w:t>
      </w:r>
      <w:r w:rsidRPr="00E27FDE">
        <w:rPr>
          <w:sz w:val="22"/>
          <w:szCs w:val="22"/>
          <w:vertAlign w:val="subscript"/>
        </w:rPr>
        <w:t>X</w:t>
      </w:r>
      <w:r w:rsidRPr="00E27FDE">
        <w:rPr>
          <w:sz w:val="22"/>
          <w:szCs w:val="22"/>
        </w:rPr>
        <w:t xml:space="preserve"> and GHG BACT emission limits do not apply, for no more than </w:t>
      </w:r>
      <w:r w:rsidR="00E27FDE" w:rsidRPr="00E27FDE">
        <w:rPr>
          <w:sz w:val="22"/>
          <w:szCs w:val="22"/>
        </w:rPr>
        <w:t>4</w:t>
      </w:r>
      <w:r w:rsidRPr="00E27FDE">
        <w:rPr>
          <w:sz w:val="22"/>
          <w:szCs w:val="22"/>
        </w:rPr>
        <w:t xml:space="preserve"> hours during any 24-hour period.  A cold startup of the</w:t>
      </w:r>
      <w:r w:rsidR="00D837FB" w:rsidRPr="00E27FDE">
        <w:rPr>
          <w:sz w:val="22"/>
          <w:szCs w:val="22"/>
        </w:rPr>
        <w:t xml:space="preserve"> CTG</w:t>
      </w:r>
      <w:r w:rsidRPr="00E27FDE">
        <w:rPr>
          <w:sz w:val="22"/>
          <w:szCs w:val="22"/>
        </w:rPr>
        <w:t xml:space="preserve">/HRSG system is defined as a startup </w:t>
      </w:r>
      <w:r w:rsidR="00E27FDE" w:rsidRPr="00E27FDE">
        <w:rPr>
          <w:sz w:val="22"/>
          <w:szCs w:val="22"/>
        </w:rPr>
        <w:t>of the 1-on-1 combined cycle system</w:t>
      </w:r>
      <w:r w:rsidR="00E27FDE">
        <w:rPr>
          <w:sz w:val="22"/>
          <w:szCs w:val="22"/>
        </w:rPr>
        <w:t xml:space="preserve"> </w:t>
      </w:r>
      <w:r w:rsidR="00E27FDE" w:rsidRPr="00E27FDE">
        <w:rPr>
          <w:sz w:val="22"/>
          <w:szCs w:val="22"/>
        </w:rPr>
        <w:t>following a shutdown of the CTG/HRSG System lasting at least 72 hours</w:t>
      </w:r>
      <w:r w:rsidRPr="00E27FDE">
        <w:rPr>
          <w:sz w:val="22"/>
          <w:szCs w:val="22"/>
        </w:rPr>
        <w:t>.</w:t>
      </w:r>
    </w:p>
    <w:p w:rsidR="00F1455E" w:rsidRPr="00803832" w:rsidRDefault="00F1455E" w:rsidP="00875BF2">
      <w:pPr>
        <w:numPr>
          <w:ilvl w:val="1"/>
          <w:numId w:val="18"/>
        </w:numPr>
        <w:suppressAutoHyphens/>
        <w:spacing w:after="60"/>
        <w:rPr>
          <w:sz w:val="22"/>
          <w:szCs w:val="22"/>
        </w:rPr>
      </w:pPr>
      <w:bookmarkStart w:id="30" w:name="_Hlk509401354"/>
      <w:r w:rsidRPr="00012FCD">
        <w:rPr>
          <w:i/>
          <w:sz w:val="22"/>
          <w:szCs w:val="22"/>
        </w:rPr>
        <w:lastRenderedPageBreak/>
        <w:t>CT/HRSG System</w:t>
      </w:r>
      <w:bookmarkEnd w:id="30"/>
      <w:r w:rsidRPr="00012FCD">
        <w:rPr>
          <w:i/>
          <w:sz w:val="22"/>
          <w:szCs w:val="22"/>
        </w:rPr>
        <w:t xml:space="preserve"> Warm Startup:  </w:t>
      </w:r>
      <w:r w:rsidRPr="00012FCD">
        <w:rPr>
          <w:sz w:val="22"/>
          <w:szCs w:val="22"/>
        </w:rPr>
        <w:t xml:space="preserve">During a warm startup of </w:t>
      </w:r>
      <w:r w:rsidR="00AF612C">
        <w:rPr>
          <w:sz w:val="22"/>
          <w:szCs w:val="22"/>
        </w:rPr>
        <w:t>the</w:t>
      </w:r>
      <w:r w:rsidR="004C3FEF">
        <w:rPr>
          <w:sz w:val="22"/>
          <w:szCs w:val="22"/>
        </w:rPr>
        <w:t xml:space="preserve"> CTG</w:t>
      </w:r>
      <w:r w:rsidRPr="00012FCD">
        <w:rPr>
          <w:sz w:val="22"/>
          <w:szCs w:val="22"/>
        </w:rPr>
        <w:t>/HRSG system, the Primary NO</w:t>
      </w:r>
      <w:r w:rsidRPr="00012FCD">
        <w:rPr>
          <w:sz w:val="22"/>
          <w:szCs w:val="22"/>
          <w:vertAlign w:val="subscript"/>
        </w:rPr>
        <w:t>X</w:t>
      </w:r>
      <w:r w:rsidRPr="00012FCD">
        <w:rPr>
          <w:sz w:val="22"/>
          <w:szCs w:val="22"/>
        </w:rPr>
        <w:t xml:space="preserve"> and GHG BACT emission limits do not apply, for </w:t>
      </w:r>
      <w:r w:rsidRPr="00803832">
        <w:rPr>
          <w:sz w:val="22"/>
          <w:szCs w:val="22"/>
        </w:rPr>
        <w:t xml:space="preserve">no more than </w:t>
      </w:r>
      <w:r w:rsidR="00012FCD" w:rsidRPr="00803832">
        <w:rPr>
          <w:sz w:val="22"/>
          <w:szCs w:val="22"/>
        </w:rPr>
        <w:t>3</w:t>
      </w:r>
      <w:r w:rsidRPr="00803832">
        <w:rPr>
          <w:sz w:val="22"/>
          <w:szCs w:val="22"/>
        </w:rPr>
        <w:t xml:space="preserve"> hours during any 24-hour period.  A warm startup of the</w:t>
      </w:r>
      <w:r w:rsidR="00D837FB">
        <w:rPr>
          <w:sz w:val="22"/>
          <w:szCs w:val="22"/>
        </w:rPr>
        <w:t xml:space="preserve"> CTG</w:t>
      </w:r>
      <w:r w:rsidRPr="00803832">
        <w:rPr>
          <w:sz w:val="22"/>
          <w:szCs w:val="22"/>
        </w:rPr>
        <w:t xml:space="preserve">/HRSG system is defined as </w:t>
      </w:r>
      <w:r w:rsidR="00012FCD" w:rsidRPr="00803832">
        <w:rPr>
          <w:sz w:val="22"/>
          <w:szCs w:val="22"/>
        </w:rPr>
        <w:t>startup of the 1-on-1 combined cycle unit following shutdown for a period exceeding 8 hours but less than 72 hours</w:t>
      </w:r>
      <w:r w:rsidRPr="00803832">
        <w:rPr>
          <w:sz w:val="22"/>
          <w:szCs w:val="22"/>
        </w:rPr>
        <w:t>.</w:t>
      </w:r>
    </w:p>
    <w:p w:rsidR="00F77397" w:rsidRPr="00803832" w:rsidRDefault="00F77397" w:rsidP="00875BF2">
      <w:pPr>
        <w:numPr>
          <w:ilvl w:val="1"/>
          <w:numId w:val="18"/>
        </w:numPr>
        <w:suppressAutoHyphens/>
        <w:spacing w:after="60"/>
        <w:rPr>
          <w:sz w:val="22"/>
          <w:szCs w:val="22"/>
        </w:rPr>
      </w:pPr>
      <w:r w:rsidRPr="00803832">
        <w:rPr>
          <w:i/>
          <w:sz w:val="22"/>
          <w:szCs w:val="22"/>
        </w:rPr>
        <w:t>CT/HRSG System</w:t>
      </w:r>
      <w:r w:rsidRPr="00803832">
        <w:rPr>
          <w:sz w:val="22"/>
          <w:szCs w:val="22"/>
        </w:rPr>
        <w:t xml:space="preserve"> </w:t>
      </w:r>
      <w:r w:rsidRPr="00803832">
        <w:rPr>
          <w:i/>
          <w:sz w:val="22"/>
          <w:szCs w:val="22"/>
        </w:rPr>
        <w:t>Hot Startup</w:t>
      </w:r>
      <w:r w:rsidRPr="00803832">
        <w:rPr>
          <w:sz w:val="22"/>
          <w:szCs w:val="22"/>
        </w:rPr>
        <w:t xml:space="preserve">: During a hot startup of </w:t>
      </w:r>
      <w:r w:rsidR="00AF612C" w:rsidRPr="00803832">
        <w:rPr>
          <w:sz w:val="22"/>
          <w:szCs w:val="22"/>
        </w:rPr>
        <w:t>the</w:t>
      </w:r>
      <w:r w:rsidR="004C3FEF">
        <w:rPr>
          <w:sz w:val="22"/>
          <w:szCs w:val="22"/>
        </w:rPr>
        <w:t xml:space="preserve"> CTG</w:t>
      </w:r>
      <w:r w:rsidRPr="00803832">
        <w:rPr>
          <w:sz w:val="22"/>
          <w:szCs w:val="22"/>
        </w:rPr>
        <w:t>/HRSG system, the Primary NO</w:t>
      </w:r>
      <w:r w:rsidRPr="00803832">
        <w:rPr>
          <w:sz w:val="22"/>
          <w:szCs w:val="22"/>
          <w:vertAlign w:val="subscript"/>
        </w:rPr>
        <w:t>X</w:t>
      </w:r>
      <w:r w:rsidRPr="00803832">
        <w:rPr>
          <w:sz w:val="22"/>
          <w:szCs w:val="22"/>
        </w:rPr>
        <w:t xml:space="preserve"> and GHG BACT emission limits do not apply, for no more than 2 hours during any 24-hour period. </w:t>
      </w:r>
      <w:r w:rsidR="005E21ED" w:rsidRPr="00803832">
        <w:rPr>
          <w:sz w:val="22"/>
          <w:szCs w:val="22"/>
        </w:rPr>
        <w:t xml:space="preserve"> </w:t>
      </w:r>
      <w:r w:rsidRPr="00803832">
        <w:rPr>
          <w:sz w:val="22"/>
          <w:szCs w:val="22"/>
        </w:rPr>
        <w:t>A hot startup of the</w:t>
      </w:r>
      <w:r w:rsidR="004C3FEF">
        <w:rPr>
          <w:sz w:val="22"/>
          <w:szCs w:val="22"/>
        </w:rPr>
        <w:t xml:space="preserve"> CTG</w:t>
      </w:r>
      <w:r w:rsidRPr="00803832">
        <w:rPr>
          <w:sz w:val="22"/>
          <w:szCs w:val="22"/>
        </w:rPr>
        <w:t>/HRSG system is defined as startup of the 1-on-1 combined cycle unit following shutdown for a period less than or equal to 8 hours.</w:t>
      </w:r>
    </w:p>
    <w:p w:rsidR="00F1455E" w:rsidRPr="00AD1D6B" w:rsidRDefault="00F1455E" w:rsidP="0017609E">
      <w:pPr>
        <w:numPr>
          <w:ilvl w:val="1"/>
          <w:numId w:val="18"/>
        </w:numPr>
        <w:suppressAutoHyphens/>
        <w:spacing w:after="60"/>
        <w:rPr>
          <w:sz w:val="22"/>
          <w:szCs w:val="22"/>
        </w:rPr>
      </w:pPr>
      <w:r w:rsidRPr="00AD1D6B">
        <w:rPr>
          <w:i/>
          <w:sz w:val="22"/>
          <w:szCs w:val="22"/>
        </w:rPr>
        <w:t xml:space="preserve">Shutdown of Combined-Cycle Operation:  </w:t>
      </w:r>
      <w:r w:rsidRPr="00AD1D6B">
        <w:rPr>
          <w:sz w:val="22"/>
          <w:szCs w:val="22"/>
        </w:rPr>
        <w:t>During the shutdown of combined cycle operation, the Primary NO</w:t>
      </w:r>
      <w:r w:rsidRPr="00AD1D6B">
        <w:rPr>
          <w:sz w:val="22"/>
          <w:szCs w:val="22"/>
          <w:vertAlign w:val="subscript"/>
        </w:rPr>
        <w:t>X</w:t>
      </w:r>
      <w:r w:rsidRPr="00AD1D6B">
        <w:rPr>
          <w:sz w:val="22"/>
          <w:szCs w:val="22"/>
        </w:rPr>
        <w:t xml:space="preserve"> and GHG BACT emission limits do not apply to any</w:t>
      </w:r>
      <w:r w:rsidR="004C3FEF">
        <w:rPr>
          <w:sz w:val="22"/>
          <w:szCs w:val="22"/>
        </w:rPr>
        <w:t xml:space="preserve"> CTG</w:t>
      </w:r>
      <w:r w:rsidRPr="00AD1D6B">
        <w:rPr>
          <w:sz w:val="22"/>
          <w:szCs w:val="22"/>
        </w:rPr>
        <w:t>/HRSG system, for no more than 3 hours during any 24-hour period.</w:t>
      </w:r>
    </w:p>
    <w:p w:rsidR="00F1455E" w:rsidRPr="00AD1D6B" w:rsidRDefault="00F1455E" w:rsidP="0017609E">
      <w:pPr>
        <w:numPr>
          <w:ilvl w:val="1"/>
          <w:numId w:val="18"/>
        </w:numPr>
        <w:suppressAutoHyphens/>
        <w:spacing w:after="60"/>
        <w:rPr>
          <w:sz w:val="22"/>
          <w:szCs w:val="22"/>
        </w:rPr>
      </w:pPr>
      <w:r w:rsidRPr="00AD1D6B">
        <w:rPr>
          <w:i/>
          <w:sz w:val="22"/>
          <w:szCs w:val="22"/>
        </w:rPr>
        <w:t>CT/HRSG System Shutdown:</w:t>
      </w:r>
      <w:r w:rsidRPr="00AD1D6B">
        <w:rPr>
          <w:sz w:val="22"/>
          <w:szCs w:val="22"/>
        </w:rPr>
        <w:t xml:space="preserve">  During the shutdown of </w:t>
      </w:r>
      <w:r w:rsidR="00AF612C" w:rsidRPr="00AD1D6B">
        <w:rPr>
          <w:sz w:val="22"/>
          <w:szCs w:val="22"/>
        </w:rPr>
        <w:t>the</w:t>
      </w:r>
      <w:r w:rsidR="004C3FEF">
        <w:rPr>
          <w:sz w:val="22"/>
          <w:szCs w:val="22"/>
        </w:rPr>
        <w:t xml:space="preserve"> CTG</w:t>
      </w:r>
      <w:r w:rsidRPr="00AD1D6B">
        <w:rPr>
          <w:sz w:val="22"/>
          <w:szCs w:val="22"/>
        </w:rPr>
        <w:t>/HRSG system, the Primary NO</w:t>
      </w:r>
      <w:r w:rsidRPr="00AD1D6B">
        <w:rPr>
          <w:sz w:val="22"/>
          <w:szCs w:val="22"/>
          <w:vertAlign w:val="subscript"/>
        </w:rPr>
        <w:t>X</w:t>
      </w:r>
      <w:r w:rsidRPr="00AD1D6B">
        <w:rPr>
          <w:sz w:val="22"/>
          <w:szCs w:val="22"/>
        </w:rPr>
        <w:t xml:space="preserve"> and GHG BACT emissions limits do not apply to that</w:t>
      </w:r>
      <w:r w:rsidR="004C3FEF">
        <w:rPr>
          <w:sz w:val="22"/>
          <w:szCs w:val="22"/>
        </w:rPr>
        <w:t xml:space="preserve"> CTG</w:t>
      </w:r>
      <w:r w:rsidRPr="00AD1D6B">
        <w:rPr>
          <w:sz w:val="22"/>
          <w:szCs w:val="22"/>
        </w:rPr>
        <w:t>/HRSG system, for no more than 2 hours during any 24-hour period.</w:t>
      </w:r>
    </w:p>
    <w:p w:rsidR="00F1455E" w:rsidRPr="00E27FDE" w:rsidRDefault="00E27FDE" w:rsidP="00E27FDE">
      <w:pPr>
        <w:numPr>
          <w:ilvl w:val="1"/>
          <w:numId w:val="18"/>
        </w:numPr>
        <w:suppressAutoHyphens/>
        <w:spacing w:after="60"/>
        <w:rPr>
          <w:sz w:val="22"/>
          <w:szCs w:val="22"/>
        </w:rPr>
      </w:pPr>
      <w:r>
        <w:rPr>
          <w:i/>
          <w:sz w:val="22"/>
          <w:szCs w:val="22"/>
        </w:rPr>
        <w:t xml:space="preserve">SCR and </w:t>
      </w:r>
      <w:r w:rsidR="00F1455E">
        <w:rPr>
          <w:i/>
          <w:sz w:val="22"/>
          <w:szCs w:val="22"/>
        </w:rPr>
        <w:t xml:space="preserve">DLN Tuning:  </w:t>
      </w:r>
      <w:r w:rsidR="00F1455E">
        <w:rPr>
          <w:sz w:val="22"/>
          <w:szCs w:val="22"/>
        </w:rPr>
        <w:t>The Primary NO</w:t>
      </w:r>
      <w:r w:rsidR="00F1455E">
        <w:rPr>
          <w:sz w:val="22"/>
          <w:szCs w:val="22"/>
          <w:vertAlign w:val="subscript"/>
        </w:rPr>
        <w:t>X</w:t>
      </w:r>
      <w:r w:rsidR="00F1455E">
        <w:rPr>
          <w:sz w:val="22"/>
          <w:szCs w:val="22"/>
        </w:rPr>
        <w:t xml:space="preserve"> and GHG BACT emission limits do not apply during</w:t>
      </w:r>
      <w:r w:rsidRPr="00E27FDE">
        <w:t xml:space="preserve"> </w:t>
      </w:r>
      <w:r w:rsidRPr="00E27FDE">
        <w:rPr>
          <w:sz w:val="22"/>
          <w:szCs w:val="22"/>
        </w:rPr>
        <w:t>either an</w:t>
      </w:r>
      <w:r>
        <w:rPr>
          <w:sz w:val="22"/>
          <w:szCs w:val="22"/>
        </w:rPr>
        <w:t xml:space="preserve"> </w:t>
      </w:r>
      <w:r w:rsidRPr="00E27FDE">
        <w:rPr>
          <w:sz w:val="22"/>
          <w:szCs w:val="22"/>
        </w:rPr>
        <w:t>SCR or</w:t>
      </w:r>
      <w:r w:rsidR="00F1455E" w:rsidRPr="00E27FDE">
        <w:rPr>
          <w:sz w:val="22"/>
          <w:szCs w:val="22"/>
        </w:rPr>
        <w:t xml:space="preserve"> a DLN tuning session and manufacturer required Full-Speed No-Load Tests (FSNL) trip tests, provided the tuning session is performed in accordance with the manufacturer's specifications or determined best practices. </w:t>
      </w:r>
      <w:r>
        <w:rPr>
          <w:sz w:val="22"/>
          <w:szCs w:val="22"/>
        </w:rPr>
        <w:t xml:space="preserve"> </w:t>
      </w:r>
      <w:r w:rsidR="00F1455E" w:rsidRPr="00E27FDE">
        <w:rPr>
          <w:sz w:val="22"/>
          <w:szCs w:val="22"/>
        </w:rPr>
        <w:t xml:space="preserve">Prior to performing any tuning session, the permittee shall provide the Compliance Authority with </w:t>
      </w:r>
      <w:proofErr w:type="gramStart"/>
      <w:r w:rsidR="00F1455E" w:rsidRPr="00E27FDE">
        <w:rPr>
          <w:sz w:val="22"/>
          <w:szCs w:val="22"/>
        </w:rPr>
        <w:t>an advance notice</w:t>
      </w:r>
      <w:proofErr w:type="gramEnd"/>
      <w:r w:rsidR="00F1455E" w:rsidRPr="00E27FDE">
        <w:rPr>
          <w:sz w:val="22"/>
          <w:szCs w:val="22"/>
        </w:rPr>
        <w:t xml:space="preserve"> that details the activity and proposed tuning schedule. The notice may be by telephone, facsimile transmittal, or electronic mail.</w:t>
      </w:r>
    </w:p>
    <w:p w:rsidR="001927E1" w:rsidRPr="0084200F" w:rsidRDefault="00F1455E" w:rsidP="001927E1">
      <w:pPr>
        <w:numPr>
          <w:ilvl w:val="1"/>
          <w:numId w:val="18"/>
        </w:numPr>
        <w:suppressAutoHyphens/>
        <w:spacing w:after="60"/>
        <w:rPr>
          <w:sz w:val="22"/>
          <w:szCs w:val="22"/>
        </w:rPr>
      </w:pPr>
      <w:bookmarkStart w:id="31" w:name="_Ref439860637"/>
      <w:r>
        <w:rPr>
          <w:i/>
          <w:sz w:val="22"/>
          <w:szCs w:val="22"/>
        </w:rPr>
        <w:t xml:space="preserve">Documented Malfunction:  </w:t>
      </w:r>
      <w:r>
        <w:rPr>
          <w:sz w:val="22"/>
          <w:szCs w:val="22"/>
        </w:rPr>
        <w:t>The Primary NO</w:t>
      </w:r>
      <w:r>
        <w:rPr>
          <w:sz w:val="22"/>
          <w:szCs w:val="22"/>
          <w:vertAlign w:val="subscript"/>
        </w:rPr>
        <w:t>X</w:t>
      </w:r>
      <w:r>
        <w:rPr>
          <w:sz w:val="22"/>
          <w:szCs w:val="22"/>
        </w:rPr>
        <w:t xml:space="preserve"> and GHG BACT emission limits do not apply during a documented malfunction, for no more than 2 hours in any 24-hour period.  To qualify as a “documented malfunction,” the malfunction must be documented </w:t>
      </w:r>
      <w:r w:rsidRPr="0084200F">
        <w:rPr>
          <w:sz w:val="22"/>
          <w:szCs w:val="22"/>
        </w:rPr>
        <w:t>within one working day of detection by contacting the Compliance Authority by telephone, facsimile transmittal, or electronic mail.  The permittee shall report to the Department the nature, extent, and duration of the malfunction, and the actions taken to correct the problem.</w:t>
      </w:r>
      <w:bookmarkEnd w:id="31"/>
    </w:p>
    <w:p w:rsidR="001927E1" w:rsidRDefault="001927E1" w:rsidP="00CE3B6E">
      <w:pPr>
        <w:numPr>
          <w:ilvl w:val="1"/>
          <w:numId w:val="18"/>
        </w:numPr>
        <w:suppressAutoHyphens/>
        <w:spacing w:after="60"/>
        <w:rPr>
          <w:sz w:val="22"/>
          <w:szCs w:val="22"/>
        </w:rPr>
      </w:pPr>
      <w:r w:rsidRPr="001927E1">
        <w:rPr>
          <w:i/>
          <w:sz w:val="22"/>
          <w:szCs w:val="22"/>
        </w:rPr>
        <w:t>Separate Events:</w:t>
      </w:r>
      <w:r w:rsidRPr="001927E1">
        <w:rPr>
          <w:sz w:val="22"/>
          <w:szCs w:val="22"/>
        </w:rPr>
        <w:t xml:space="preserve">  </w:t>
      </w:r>
      <w:r w:rsidR="00F1455E" w:rsidRPr="001927E1">
        <w:rPr>
          <w:sz w:val="22"/>
          <w:szCs w:val="22"/>
        </w:rPr>
        <w:t xml:space="preserve">Emissions during the startup, shutdown, </w:t>
      </w:r>
      <w:r w:rsidR="00E27FDE">
        <w:rPr>
          <w:sz w:val="22"/>
          <w:szCs w:val="22"/>
        </w:rPr>
        <w:t xml:space="preserve">SCR tuning, </w:t>
      </w:r>
      <w:r w:rsidR="00F1455E" w:rsidRPr="001927E1">
        <w:rPr>
          <w:sz w:val="22"/>
          <w:szCs w:val="22"/>
        </w:rPr>
        <w:t>DLN tuning and documented malfunction events listed above are not subject to the Primary BACT standards for NO</w:t>
      </w:r>
      <w:r w:rsidR="00F1455E" w:rsidRPr="001927E1">
        <w:rPr>
          <w:sz w:val="22"/>
          <w:szCs w:val="22"/>
          <w:vertAlign w:val="subscript"/>
        </w:rPr>
        <w:t>X</w:t>
      </w:r>
      <w:r w:rsidR="00F1455E" w:rsidRPr="001927E1">
        <w:rPr>
          <w:sz w:val="22"/>
          <w:szCs w:val="22"/>
        </w:rPr>
        <w:t xml:space="preserve"> or GHGs.  These are considered separate events, and each event may occur independently within any 24-hour period </w:t>
      </w:r>
      <w:r w:rsidR="00F1455E" w:rsidRPr="001927E1">
        <w:rPr>
          <w:color w:val="000000" w:themeColor="text1"/>
          <w:sz w:val="22"/>
          <w:szCs w:val="22"/>
        </w:rPr>
        <w:t>("any 24-hour period" means a calendar day, midnight to midnight)</w:t>
      </w:r>
      <w:r w:rsidR="00F1455E" w:rsidRPr="001927E1">
        <w:rPr>
          <w:sz w:val="22"/>
          <w:szCs w:val="22"/>
        </w:rPr>
        <w:t>.  Data from the NO</w:t>
      </w:r>
      <w:r w:rsidR="00F1455E" w:rsidRPr="001927E1">
        <w:rPr>
          <w:sz w:val="22"/>
          <w:szCs w:val="22"/>
          <w:vertAlign w:val="subscript"/>
        </w:rPr>
        <w:t>X</w:t>
      </w:r>
      <w:r w:rsidR="00F1455E" w:rsidRPr="001927E1">
        <w:rPr>
          <w:sz w:val="22"/>
          <w:szCs w:val="22"/>
        </w:rPr>
        <w:t xml:space="preserve"> and CO</w:t>
      </w:r>
      <w:r w:rsidR="00F1455E" w:rsidRPr="001927E1">
        <w:rPr>
          <w:sz w:val="22"/>
          <w:szCs w:val="22"/>
          <w:vertAlign w:val="subscript"/>
        </w:rPr>
        <w:t>2</w:t>
      </w:r>
      <w:r w:rsidR="00F1455E" w:rsidRPr="001927E1">
        <w:rPr>
          <w:sz w:val="22"/>
          <w:szCs w:val="22"/>
        </w:rPr>
        <w:t xml:space="preserve"> CEMS (or fuel use monitor) collected during the events described above will not be used to demonstrate compliance with the Primary BACT emission limits for NO</w:t>
      </w:r>
      <w:r w:rsidR="00F1455E" w:rsidRPr="001927E1">
        <w:rPr>
          <w:sz w:val="22"/>
          <w:szCs w:val="22"/>
          <w:vertAlign w:val="subscript"/>
        </w:rPr>
        <w:t>X</w:t>
      </w:r>
      <w:r w:rsidR="00F1455E" w:rsidRPr="001927E1">
        <w:rPr>
          <w:sz w:val="22"/>
          <w:szCs w:val="22"/>
        </w:rPr>
        <w:t xml:space="preserve"> and GHGs.</w:t>
      </w:r>
    </w:p>
    <w:p w:rsidR="00F1455E" w:rsidRPr="001927E1" w:rsidRDefault="001927E1" w:rsidP="001927E1">
      <w:pPr>
        <w:numPr>
          <w:ilvl w:val="1"/>
          <w:numId w:val="18"/>
        </w:numPr>
        <w:suppressAutoHyphens/>
        <w:spacing w:after="60"/>
        <w:rPr>
          <w:sz w:val="22"/>
          <w:szCs w:val="22"/>
        </w:rPr>
      </w:pPr>
      <w:r w:rsidRPr="001927E1">
        <w:rPr>
          <w:i/>
          <w:sz w:val="22"/>
          <w:szCs w:val="22"/>
        </w:rPr>
        <w:t>CEMS Data:</w:t>
      </w:r>
      <w:r w:rsidRPr="001927E1">
        <w:rPr>
          <w:sz w:val="22"/>
          <w:szCs w:val="22"/>
        </w:rPr>
        <w:t xml:space="preserve">  </w:t>
      </w:r>
      <w:r w:rsidR="00F1455E" w:rsidRPr="001927E1">
        <w:rPr>
          <w:sz w:val="22"/>
          <w:szCs w:val="22"/>
        </w:rPr>
        <w:t>Data from the NO</w:t>
      </w:r>
      <w:r w:rsidR="00F1455E" w:rsidRPr="001927E1">
        <w:rPr>
          <w:sz w:val="22"/>
          <w:szCs w:val="22"/>
          <w:vertAlign w:val="subscript"/>
        </w:rPr>
        <w:t>X</w:t>
      </w:r>
      <w:r w:rsidR="00F1455E" w:rsidRPr="001927E1">
        <w:rPr>
          <w:sz w:val="22"/>
          <w:szCs w:val="22"/>
        </w:rPr>
        <w:t xml:space="preserve"> and CO</w:t>
      </w:r>
      <w:r w:rsidR="00F1455E" w:rsidRPr="001927E1">
        <w:rPr>
          <w:sz w:val="22"/>
          <w:szCs w:val="22"/>
          <w:vertAlign w:val="subscript"/>
        </w:rPr>
        <w:t>2</w:t>
      </w:r>
      <w:r w:rsidR="00F1455E" w:rsidRPr="001927E1">
        <w:rPr>
          <w:sz w:val="22"/>
          <w:szCs w:val="22"/>
        </w:rPr>
        <w:t xml:space="preserve"> CEMS (or fuel use monitor if a CO</w:t>
      </w:r>
      <w:r w:rsidR="00F1455E" w:rsidRPr="001927E1">
        <w:rPr>
          <w:sz w:val="22"/>
          <w:szCs w:val="22"/>
          <w:vertAlign w:val="subscript"/>
        </w:rPr>
        <w:t>2</w:t>
      </w:r>
      <w:r w:rsidR="00F1455E" w:rsidRPr="001927E1">
        <w:rPr>
          <w:sz w:val="22"/>
          <w:szCs w:val="22"/>
        </w:rPr>
        <w:t xml:space="preserve"> CEMS is not used) collected during the operating conditions described above, during which the Primary NO</w:t>
      </w:r>
      <w:r w:rsidR="00F1455E" w:rsidRPr="001927E1">
        <w:rPr>
          <w:sz w:val="22"/>
          <w:szCs w:val="22"/>
          <w:vertAlign w:val="subscript"/>
        </w:rPr>
        <w:t>X</w:t>
      </w:r>
      <w:r w:rsidR="00F1455E" w:rsidRPr="001927E1">
        <w:rPr>
          <w:sz w:val="22"/>
          <w:szCs w:val="22"/>
        </w:rPr>
        <w:t xml:space="preserve"> and GHG BACT limits do not apply, will be used to demonstrate compliance with the Secondary NO</w:t>
      </w:r>
      <w:r w:rsidR="00F1455E" w:rsidRPr="001927E1">
        <w:rPr>
          <w:sz w:val="22"/>
          <w:szCs w:val="22"/>
          <w:vertAlign w:val="subscript"/>
        </w:rPr>
        <w:t>X</w:t>
      </w:r>
      <w:r w:rsidR="00F1455E" w:rsidRPr="001927E1">
        <w:rPr>
          <w:sz w:val="22"/>
          <w:szCs w:val="22"/>
        </w:rPr>
        <w:t xml:space="preserve"> and GHG BACT emission limits at all times, as described in </w:t>
      </w:r>
      <w:r w:rsidR="00F1455E" w:rsidRPr="001927E1">
        <w:rPr>
          <w:b/>
          <w:sz w:val="22"/>
          <w:szCs w:val="22"/>
        </w:rPr>
        <w:t xml:space="preserve">Specific Conditions </w:t>
      </w:r>
      <w:r w:rsidR="006B7D69" w:rsidRPr="006B7D69">
        <w:rPr>
          <w:b/>
          <w:iCs/>
          <w:sz w:val="22"/>
          <w:szCs w:val="22"/>
        </w:rPr>
        <w:fldChar w:fldCharType="begin"/>
      </w:r>
      <w:r w:rsidR="006B7D69" w:rsidRPr="006B7D69">
        <w:rPr>
          <w:b/>
          <w:iCs/>
          <w:sz w:val="22"/>
          <w:szCs w:val="22"/>
        </w:rPr>
        <w:instrText xml:space="preserve"> REF _Ref511649349 \r \h </w:instrText>
      </w:r>
      <w:r w:rsidR="006B7D69">
        <w:rPr>
          <w:b/>
          <w:iCs/>
          <w:sz w:val="22"/>
          <w:szCs w:val="22"/>
        </w:rPr>
        <w:instrText xml:space="preserve"> \* MERGEFORMAT </w:instrText>
      </w:r>
      <w:r w:rsidR="006B7D69" w:rsidRPr="006B7D69">
        <w:rPr>
          <w:b/>
          <w:iCs/>
          <w:sz w:val="22"/>
          <w:szCs w:val="22"/>
        </w:rPr>
      </w:r>
      <w:r w:rsidR="006B7D69" w:rsidRPr="006B7D69">
        <w:rPr>
          <w:b/>
          <w:iCs/>
          <w:sz w:val="22"/>
          <w:szCs w:val="22"/>
        </w:rPr>
        <w:fldChar w:fldCharType="separate"/>
      </w:r>
      <w:r w:rsidR="006D04C9">
        <w:rPr>
          <w:b/>
          <w:iCs/>
          <w:sz w:val="22"/>
          <w:szCs w:val="22"/>
        </w:rPr>
        <w:t>8</w:t>
      </w:r>
      <w:r w:rsidR="006B7D69" w:rsidRPr="006B7D69">
        <w:rPr>
          <w:b/>
          <w:iCs/>
          <w:sz w:val="22"/>
          <w:szCs w:val="22"/>
        </w:rPr>
        <w:fldChar w:fldCharType="end"/>
      </w:r>
      <w:r w:rsidR="00F1455E" w:rsidRPr="001927E1">
        <w:rPr>
          <w:b/>
          <w:sz w:val="22"/>
          <w:szCs w:val="22"/>
        </w:rPr>
        <w:t xml:space="preserve"> and </w:t>
      </w:r>
      <w:r w:rsidR="006B7D69">
        <w:fldChar w:fldCharType="begin"/>
      </w:r>
      <w:r w:rsidR="006B7D69">
        <w:rPr>
          <w:b/>
          <w:sz w:val="22"/>
          <w:szCs w:val="22"/>
        </w:rPr>
        <w:instrText xml:space="preserve"> REF _Ref421786121 \r \h </w:instrText>
      </w:r>
      <w:r w:rsidR="006B7D69">
        <w:fldChar w:fldCharType="separate"/>
      </w:r>
      <w:r w:rsidR="006D04C9">
        <w:rPr>
          <w:b/>
          <w:sz w:val="22"/>
          <w:szCs w:val="22"/>
        </w:rPr>
        <w:t>18</w:t>
      </w:r>
      <w:r w:rsidR="006B7D69">
        <w:fldChar w:fldCharType="end"/>
      </w:r>
      <w:r w:rsidR="00F1455E" w:rsidRPr="001927E1">
        <w:rPr>
          <w:sz w:val="22"/>
          <w:szCs w:val="22"/>
        </w:rPr>
        <w:t xml:space="preserve">.  All valid emissions data (including data collected during startups, shutdowns, malfunction, </w:t>
      </w:r>
      <w:r w:rsidR="00E27FDE">
        <w:rPr>
          <w:sz w:val="22"/>
          <w:szCs w:val="22"/>
        </w:rPr>
        <w:t xml:space="preserve">SCR tuning </w:t>
      </w:r>
      <w:r w:rsidR="00B3448D" w:rsidRPr="001927E1">
        <w:rPr>
          <w:sz w:val="22"/>
          <w:szCs w:val="22"/>
        </w:rPr>
        <w:t xml:space="preserve">and </w:t>
      </w:r>
      <w:r w:rsidR="00F1455E" w:rsidRPr="001927E1">
        <w:rPr>
          <w:sz w:val="22"/>
          <w:szCs w:val="22"/>
        </w:rPr>
        <w:t>DLN tuning) shall be used to report emissions for the Annual Operating Report.</w:t>
      </w:r>
      <w:bookmarkEnd w:id="29"/>
    </w:p>
    <w:p w:rsidR="00F1455E" w:rsidRDefault="00F1455E" w:rsidP="00F1455E">
      <w:pPr>
        <w:suppressAutoHyphens/>
        <w:spacing w:after="120"/>
        <w:ind w:left="360"/>
        <w:rPr>
          <w:sz w:val="22"/>
          <w:szCs w:val="22"/>
        </w:rPr>
      </w:pPr>
      <w:r>
        <w:rPr>
          <w:sz w:val="22"/>
          <w:szCs w:val="22"/>
        </w:rPr>
        <w:t>[Rules 6</w:t>
      </w:r>
      <w:r w:rsidR="00B3448D">
        <w:rPr>
          <w:sz w:val="22"/>
          <w:szCs w:val="22"/>
        </w:rPr>
        <w:t>2-21</w:t>
      </w:r>
      <w:r w:rsidR="00F44753">
        <w:rPr>
          <w:sz w:val="22"/>
          <w:szCs w:val="22"/>
        </w:rPr>
        <w:t>2</w:t>
      </w:r>
      <w:r w:rsidR="00B3448D">
        <w:rPr>
          <w:sz w:val="22"/>
          <w:szCs w:val="22"/>
        </w:rPr>
        <w:t>.</w:t>
      </w:r>
      <w:r w:rsidR="00F44753">
        <w:rPr>
          <w:sz w:val="22"/>
          <w:szCs w:val="22"/>
        </w:rPr>
        <w:t>4</w:t>
      </w:r>
      <w:r w:rsidR="00B3448D">
        <w:rPr>
          <w:sz w:val="22"/>
          <w:szCs w:val="22"/>
        </w:rPr>
        <w:t xml:space="preserve">00(BACT), </w:t>
      </w:r>
      <w:r>
        <w:rPr>
          <w:sz w:val="22"/>
          <w:szCs w:val="22"/>
        </w:rPr>
        <w:t>62-210.370, and 62-210.700, F.A.C.]</w:t>
      </w:r>
    </w:p>
    <w:p w:rsidR="00F1455E" w:rsidRDefault="00F1455E" w:rsidP="0017609E">
      <w:pPr>
        <w:numPr>
          <w:ilvl w:val="0"/>
          <w:numId w:val="2"/>
        </w:numPr>
        <w:suppressAutoHyphens/>
        <w:spacing w:after="120"/>
        <w:rPr>
          <w:iCs/>
          <w:sz w:val="22"/>
          <w:szCs w:val="22"/>
        </w:rPr>
      </w:pPr>
      <w:bookmarkStart w:id="32" w:name="_Ref421786121"/>
      <w:bookmarkEnd w:id="26"/>
      <w:bookmarkEnd w:id="27"/>
      <w:r w:rsidRPr="0017609E">
        <w:rPr>
          <w:sz w:val="22"/>
          <w:szCs w:val="22"/>
          <w:u w:val="single"/>
        </w:rPr>
        <w:t>Secondary</w:t>
      </w:r>
      <w:r>
        <w:rPr>
          <w:iCs/>
          <w:sz w:val="22"/>
          <w:szCs w:val="22"/>
          <w:u w:val="single"/>
        </w:rPr>
        <w:t xml:space="preserve"> NO</w:t>
      </w:r>
      <w:r>
        <w:rPr>
          <w:iCs/>
          <w:sz w:val="22"/>
          <w:szCs w:val="22"/>
          <w:u w:val="single"/>
          <w:vertAlign w:val="subscript"/>
        </w:rPr>
        <w:t>X</w:t>
      </w:r>
      <w:r>
        <w:rPr>
          <w:iCs/>
          <w:sz w:val="22"/>
          <w:szCs w:val="22"/>
          <w:u w:val="single"/>
        </w:rPr>
        <w:t xml:space="preserve"> and GHG BACT Emission Limits</w:t>
      </w:r>
      <w:r>
        <w:rPr>
          <w:iCs/>
          <w:sz w:val="22"/>
          <w:szCs w:val="22"/>
        </w:rPr>
        <w:t xml:space="preserve">:  During the operating conditions listed in </w:t>
      </w:r>
      <w:r>
        <w:rPr>
          <w:b/>
          <w:iCs/>
          <w:sz w:val="22"/>
          <w:szCs w:val="22"/>
        </w:rPr>
        <w:t xml:space="preserve">Specific Condition </w:t>
      </w:r>
      <w:bookmarkStart w:id="33" w:name="_Hlk511649923"/>
      <w:r w:rsidR="002A2433">
        <w:fldChar w:fldCharType="begin"/>
      </w:r>
      <w:r w:rsidR="002A2433">
        <w:rPr>
          <w:b/>
          <w:iCs/>
          <w:sz w:val="22"/>
          <w:szCs w:val="22"/>
        </w:rPr>
        <w:instrText xml:space="preserve"> REF _Ref421786096 \r \h </w:instrText>
      </w:r>
      <w:r w:rsidR="002A2433">
        <w:fldChar w:fldCharType="separate"/>
      </w:r>
      <w:r w:rsidR="006D04C9">
        <w:rPr>
          <w:b/>
          <w:iCs/>
          <w:sz w:val="22"/>
          <w:szCs w:val="22"/>
        </w:rPr>
        <w:t>17</w:t>
      </w:r>
      <w:r w:rsidR="002A2433">
        <w:fldChar w:fldCharType="end"/>
      </w:r>
      <w:bookmarkEnd w:id="33"/>
      <w:r>
        <w:rPr>
          <w:iCs/>
          <w:sz w:val="22"/>
          <w:szCs w:val="22"/>
        </w:rPr>
        <w:t>, the permittee shall comply with the Secondary NO</w:t>
      </w:r>
      <w:r>
        <w:rPr>
          <w:iCs/>
          <w:sz w:val="22"/>
          <w:szCs w:val="22"/>
          <w:vertAlign w:val="subscript"/>
        </w:rPr>
        <w:t>X</w:t>
      </w:r>
      <w:r>
        <w:rPr>
          <w:iCs/>
          <w:sz w:val="22"/>
          <w:szCs w:val="22"/>
        </w:rPr>
        <w:t xml:space="preserve"> and GHG BACT limits specified in </w:t>
      </w:r>
      <w:r>
        <w:rPr>
          <w:b/>
          <w:iCs/>
          <w:sz w:val="22"/>
          <w:szCs w:val="22"/>
        </w:rPr>
        <w:t xml:space="preserve">Specific Condition </w:t>
      </w:r>
      <w:r w:rsidR="002A2433">
        <w:fldChar w:fldCharType="begin"/>
      </w:r>
      <w:r w:rsidR="002A2433">
        <w:rPr>
          <w:b/>
          <w:sz w:val="22"/>
          <w:szCs w:val="22"/>
        </w:rPr>
        <w:instrText xml:space="preserve"> REF _Ref511649349 \r \h </w:instrText>
      </w:r>
      <w:r w:rsidR="002A2433">
        <w:fldChar w:fldCharType="separate"/>
      </w:r>
      <w:r w:rsidR="006D04C9">
        <w:rPr>
          <w:b/>
          <w:sz w:val="22"/>
          <w:szCs w:val="22"/>
        </w:rPr>
        <w:t>8</w:t>
      </w:r>
      <w:r w:rsidR="002A2433">
        <w:fldChar w:fldCharType="end"/>
      </w:r>
      <w:r>
        <w:rPr>
          <w:iCs/>
          <w:sz w:val="22"/>
          <w:szCs w:val="22"/>
        </w:rPr>
        <w:t>.  Demonstrating compliance with the NO</w:t>
      </w:r>
      <w:r>
        <w:rPr>
          <w:iCs/>
          <w:sz w:val="22"/>
          <w:szCs w:val="22"/>
          <w:vertAlign w:val="subscript"/>
        </w:rPr>
        <w:t>X</w:t>
      </w:r>
      <w:r>
        <w:rPr>
          <w:iCs/>
          <w:sz w:val="22"/>
          <w:szCs w:val="22"/>
        </w:rPr>
        <w:t xml:space="preserve"> limit in NSPS Subpart KKKK </w:t>
      </w:r>
      <w:proofErr w:type="gramStart"/>
      <w:r>
        <w:rPr>
          <w:iCs/>
          <w:sz w:val="22"/>
          <w:szCs w:val="22"/>
        </w:rPr>
        <w:t>at all times</w:t>
      </w:r>
      <w:proofErr w:type="gramEnd"/>
      <w:r>
        <w:rPr>
          <w:iCs/>
          <w:sz w:val="22"/>
          <w:szCs w:val="22"/>
        </w:rPr>
        <w:t xml:space="preserve"> shall be sufficient for demonstrating compliance with the Secondary NO</w:t>
      </w:r>
      <w:r>
        <w:rPr>
          <w:iCs/>
          <w:sz w:val="22"/>
          <w:szCs w:val="22"/>
          <w:vertAlign w:val="subscript"/>
        </w:rPr>
        <w:t>X</w:t>
      </w:r>
      <w:r>
        <w:rPr>
          <w:iCs/>
          <w:sz w:val="22"/>
          <w:szCs w:val="22"/>
        </w:rPr>
        <w:t xml:space="preserve"> BACT limit.  Demonstrating compliance with the GHG limit in NSPS Subpart TTTT </w:t>
      </w:r>
      <w:proofErr w:type="gramStart"/>
      <w:r>
        <w:rPr>
          <w:iCs/>
          <w:sz w:val="22"/>
          <w:szCs w:val="22"/>
        </w:rPr>
        <w:t>at all times</w:t>
      </w:r>
      <w:proofErr w:type="gramEnd"/>
      <w:r>
        <w:rPr>
          <w:iCs/>
          <w:sz w:val="22"/>
          <w:szCs w:val="22"/>
        </w:rPr>
        <w:t xml:space="preserve"> shall be sufficient for demonstrating compliance with the Secondary GHG BACT limit.  [Rule 62-21</w:t>
      </w:r>
      <w:r w:rsidR="000A027A">
        <w:rPr>
          <w:iCs/>
          <w:sz w:val="22"/>
          <w:szCs w:val="22"/>
        </w:rPr>
        <w:t>2</w:t>
      </w:r>
      <w:r>
        <w:rPr>
          <w:iCs/>
          <w:sz w:val="22"/>
          <w:szCs w:val="22"/>
        </w:rPr>
        <w:t>.</w:t>
      </w:r>
      <w:r w:rsidR="000A027A">
        <w:rPr>
          <w:iCs/>
          <w:sz w:val="22"/>
          <w:szCs w:val="22"/>
        </w:rPr>
        <w:t>4</w:t>
      </w:r>
      <w:r>
        <w:rPr>
          <w:iCs/>
          <w:sz w:val="22"/>
          <w:szCs w:val="22"/>
        </w:rPr>
        <w:t>00(BACT), F.A.C., and 40 CFR 60, Subparts KKKK and TTTT]</w:t>
      </w:r>
      <w:bookmarkEnd w:id="32"/>
    </w:p>
    <w:p w:rsidR="00F1455E" w:rsidRDefault="00F1455E" w:rsidP="00F1455E">
      <w:pPr>
        <w:spacing w:after="120"/>
        <w:ind w:left="360"/>
        <w:rPr>
          <w:i/>
          <w:iCs/>
          <w:sz w:val="22"/>
          <w:szCs w:val="22"/>
        </w:rPr>
      </w:pPr>
      <w:r w:rsidRPr="00BE2C8D">
        <w:rPr>
          <w:i/>
          <w:iCs/>
          <w:sz w:val="22"/>
          <w:szCs w:val="22"/>
        </w:rPr>
        <w:lastRenderedPageBreak/>
        <w:t>{Permitting Note:  Compliance with the Secondary NO</w:t>
      </w:r>
      <w:r w:rsidRPr="00BE2C8D">
        <w:rPr>
          <w:i/>
          <w:iCs/>
          <w:sz w:val="22"/>
          <w:szCs w:val="22"/>
          <w:vertAlign w:val="subscript"/>
        </w:rPr>
        <w:t>X</w:t>
      </w:r>
      <w:r w:rsidRPr="00BE2C8D">
        <w:rPr>
          <w:i/>
          <w:iCs/>
          <w:sz w:val="22"/>
          <w:szCs w:val="22"/>
        </w:rPr>
        <w:t xml:space="preserve"> and GHG BACT Emission Limits ensures continuous compliance with an applicable SIP emission limit.}</w:t>
      </w:r>
    </w:p>
    <w:p w:rsidR="00A06C9C" w:rsidRDefault="00F1455E" w:rsidP="00A06C9C">
      <w:pPr>
        <w:numPr>
          <w:ilvl w:val="0"/>
          <w:numId w:val="2"/>
        </w:numPr>
        <w:suppressAutoHyphens/>
        <w:spacing w:after="120"/>
        <w:rPr>
          <w:iCs/>
          <w:sz w:val="22"/>
          <w:szCs w:val="22"/>
        </w:rPr>
      </w:pPr>
      <w:r>
        <w:rPr>
          <w:iCs/>
          <w:sz w:val="22"/>
          <w:szCs w:val="22"/>
          <w:u w:val="single"/>
        </w:rPr>
        <w:t xml:space="preserve">GHG BACT </w:t>
      </w:r>
      <w:r w:rsidRPr="0017609E">
        <w:rPr>
          <w:sz w:val="22"/>
          <w:szCs w:val="22"/>
          <w:u w:val="single"/>
        </w:rPr>
        <w:t>Applicability</w:t>
      </w:r>
      <w:r>
        <w:rPr>
          <w:iCs/>
          <w:sz w:val="22"/>
          <w:szCs w:val="22"/>
        </w:rPr>
        <w:t xml:space="preserve">:  Other than during the operating conditions listed in </w:t>
      </w:r>
      <w:r>
        <w:rPr>
          <w:b/>
          <w:iCs/>
          <w:sz w:val="22"/>
          <w:szCs w:val="22"/>
        </w:rPr>
        <w:t xml:space="preserve">Specific Condition </w:t>
      </w:r>
      <w:r w:rsidR="002A2433">
        <w:fldChar w:fldCharType="begin"/>
      </w:r>
      <w:r w:rsidR="002A2433">
        <w:rPr>
          <w:b/>
          <w:iCs/>
          <w:sz w:val="22"/>
          <w:szCs w:val="22"/>
        </w:rPr>
        <w:instrText xml:space="preserve"> REF _Ref421786096 \r \h </w:instrText>
      </w:r>
      <w:r w:rsidR="002A2433">
        <w:fldChar w:fldCharType="separate"/>
      </w:r>
      <w:r w:rsidR="006D04C9">
        <w:rPr>
          <w:b/>
          <w:iCs/>
          <w:sz w:val="22"/>
          <w:szCs w:val="22"/>
        </w:rPr>
        <w:t>17</w:t>
      </w:r>
      <w:r w:rsidR="002A2433">
        <w:fldChar w:fldCharType="end"/>
      </w:r>
      <w:r>
        <w:rPr>
          <w:iCs/>
          <w:sz w:val="22"/>
          <w:szCs w:val="22"/>
        </w:rPr>
        <w:t xml:space="preserve">, all emissions and generation from </w:t>
      </w:r>
      <w:r w:rsidR="00971C90">
        <w:rPr>
          <w:iCs/>
          <w:sz w:val="22"/>
          <w:szCs w:val="22"/>
        </w:rPr>
        <w:t>the</w:t>
      </w:r>
      <w:r w:rsidR="00D837FB">
        <w:rPr>
          <w:iCs/>
          <w:sz w:val="22"/>
          <w:szCs w:val="22"/>
        </w:rPr>
        <w:t xml:space="preserve"> CTG</w:t>
      </w:r>
      <w:r>
        <w:rPr>
          <w:iCs/>
          <w:sz w:val="22"/>
          <w:szCs w:val="22"/>
        </w:rPr>
        <w:t xml:space="preserve"> </w:t>
      </w:r>
      <w:r w:rsidR="00E27FDE">
        <w:rPr>
          <w:iCs/>
          <w:sz w:val="22"/>
          <w:szCs w:val="22"/>
        </w:rPr>
        <w:t xml:space="preserve">and duct burner </w:t>
      </w:r>
      <w:r>
        <w:rPr>
          <w:iCs/>
          <w:sz w:val="22"/>
          <w:szCs w:val="22"/>
        </w:rPr>
        <w:t>are included when demonstrating compliance with the Primary GHG BACT limit, regardless of whether the</w:t>
      </w:r>
      <w:r w:rsidR="00D837FB">
        <w:rPr>
          <w:iCs/>
          <w:sz w:val="22"/>
          <w:szCs w:val="22"/>
        </w:rPr>
        <w:t xml:space="preserve"> CTG</w:t>
      </w:r>
      <w:r>
        <w:rPr>
          <w:iCs/>
          <w:sz w:val="22"/>
          <w:szCs w:val="22"/>
        </w:rPr>
        <w:t xml:space="preserve"> is operated in </w:t>
      </w:r>
      <w:r w:rsidR="00FB70EE">
        <w:rPr>
          <w:iCs/>
          <w:sz w:val="22"/>
          <w:szCs w:val="22"/>
        </w:rPr>
        <w:t>combined-cycle</w:t>
      </w:r>
      <w:r w:rsidR="00610734">
        <w:rPr>
          <w:iCs/>
          <w:sz w:val="22"/>
          <w:szCs w:val="22"/>
        </w:rPr>
        <w:t xml:space="preserve"> or simple-cycle mode</w:t>
      </w:r>
      <w:r>
        <w:rPr>
          <w:iCs/>
          <w:sz w:val="22"/>
          <w:szCs w:val="22"/>
        </w:rPr>
        <w:t>.  [Rule 62-21</w:t>
      </w:r>
      <w:r w:rsidR="003D73ED">
        <w:rPr>
          <w:iCs/>
          <w:sz w:val="22"/>
          <w:szCs w:val="22"/>
        </w:rPr>
        <w:t>2</w:t>
      </w:r>
      <w:r>
        <w:rPr>
          <w:iCs/>
          <w:sz w:val="22"/>
          <w:szCs w:val="22"/>
        </w:rPr>
        <w:t>.</w:t>
      </w:r>
      <w:r w:rsidR="003D73ED">
        <w:rPr>
          <w:iCs/>
          <w:sz w:val="22"/>
          <w:szCs w:val="22"/>
        </w:rPr>
        <w:t>4</w:t>
      </w:r>
      <w:r>
        <w:rPr>
          <w:iCs/>
          <w:sz w:val="22"/>
          <w:szCs w:val="22"/>
        </w:rPr>
        <w:t>00(BACT), F.A.C.]</w:t>
      </w:r>
    </w:p>
    <w:p w:rsidR="00A06C9C" w:rsidRPr="00A06C9C" w:rsidRDefault="00F1455E" w:rsidP="00A06C9C">
      <w:pPr>
        <w:numPr>
          <w:ilvl w:val="0"/>
          <w:numId w:val="2"/>
        </w:numPr>
        <w:suppressAutoHyphens/>
        <w:spacing w:after="120"/>
        <w:rPr>
          <w:iCs/>
          <w:sz w:val="22"/>
          <w:szCs w:val="22"/>
        </w:rPr>
      </w:pPr>
      <w:r w:rsidRPr="00A06C9C">
        <w:rPr>
          <w:sz w:val="22"/>
          <w:szCs w:val="22"/>
          <w:u w:val="single"/>
        </w:rPr>
        <w:t>BACT Work Practice Standards for Startup and Shutdown</w:t>
      </w:r>
      <w:r w:rsidRPr="00A06C9C">
        <w:rPr>
          <w:sz w:val="22"/>
          <w:szCs w:val="22"/>
        </w:rPr>
        <w:t>:</w:t>
      </w:r>
      <w:r w:rsidR="006C7226" w:rsidRPr="00A06C9C">
        <w:rPr>
          <w:sz w:val="22"/>
          <w:szCs w:val="22"/>
        </w:rPr>
        <w:t xml:space="preserve">  </w:t>
      </w:r>
    </w:p>
    <w:p w:rsidR="006C2E62" w:rsidRDefault="00A06C9C" w:rsidP="001E4C7A">
      <w:pPr>
        <w:numPr>
          <w:ilvl w:val="0"/>
          <w:numId w:val="27"/>
        </w:numPr>
        <w:suppressAutoHyphens/>
        <w:spacing w:after="60"/>
        <w:rPr>
          <w:sz w:val="22"/>
          <w:szCs w:val="22"/>
        </w:rPr>
      </w:pPr>
      <w:r w:rsidRPr="006C2E62">
        <w:rPr>
          <w:i/>
          <w:sz w:val="22"/>
          <w:szCs w:val="22"/>
        </w:rPr>
        <w:t>Manufacturer-Recommended Startup and Shutdown Procedures</w:t>
      </w:r>
      <w:r w:rsidRPr="006C2E62">
        <w:rPr>
          <w:sz w:val="22"/>
          <w:szCs w:val="22"/>
        </w:rPr>
        <w:t xml:space="preserve">:  The permittee shall follow the manufacturer’s recommended operating procedures for startup and shutdown.  All personnel responsible for startup or shutdown of equipment shall be familiar with these procedures.  For each operator responsible for startup or shutdown of these turbines, the permittee shall document that the operator has been trained in the manufacturer’s recommended procedures for startup and shutdown.  The permittee shall make this documentation available to the Department upon request.  </w:t>
      </w:r>
    </w:p>
    <w:p w:rsidR="006C2E62" w:rsidRPr="006C2E62" w:rsidRDefault="00A06C9C" w:rsidP="001E4C7A">
      <w:pPr>
        <w:numPr>
          <w:ilvl w:val="0"/>
          <w:numId w:val="27"/>
        </w:numPr>
        <w:suppressAutoHyphens/>
        <w:spacing w:after="60"/>
        <w:rPr>
          <w:sz w:val="22"/>
          <w:szCs w:val="22"/>
        </w:rPr>
      </w:pPr>
      <w:r w:rsidRPr="006C2E62">
        <w:rPr>
          <w:i/>
          <w:sz w:val="22"/>
          <w:szCs w:val="22"/>
        </w:rPr>
        <w:t xml:space="preserve">Startup &amp; Shutdown Opacity:  </w:t>
      </w:r>
      <w:r w:rsidRPr="006C2E62">
        <w:rPr>
          <w:sz w:val="22"/>
        </w:rPr>
        <w:t xml:space="preserve">During startup and shutdown, the opacity of the exhaust gases shall not exceed </w:t>
      </w:r>
      <w:r w:rsidR="00294C2C" w:rsidRPr="006C2E62">
        <w:rPr>
          <w:sz w:val="22"/>
        </w:rPr>
        <w:t>1</w:t>
      </w:r>
      <w:r w:rsidRPr="006C2E62">
        <w:rPr>
          <w:sz w:val="22"/>
        </w:rPr>
        <w:t xml:space="preserve">0%, except for up to </w:t>
      </w:r>
      <w:r w:rsidR="00110445">
        <w:rPr>
          <w:sz w:val="22"/>
        </w:rPr>
        <w:t>six</w:t>
      </w:r>
      <w:r w:rsidRPr="006C2E62">
        <w:rPr>
          <w:sz w:val="22"/>
        </w:rPr>
        <w:t xml:space="preserve"> 6-minute averaging periods in a calendar day during which the opacity shall not exceed 20%.  </w:t>
      </w:r>
    </w:p>
    <w:p w:rsidR="00F1455E" w:rsidRPr="006C7226" w:rsidRDefault="00A06C9C" w:rsidP="006C2E62">
      <w:pPr>
        <w:suppressAutoHyphens/>
        <w:spacing w:after="60"/>
        <w:ind w:left="720"/>
        <w:rPr>
          <w:sz w:val="22"/>
          <w:szCs w:val="22"/>
        </w:rPr>
      </w:pPr>
      <w:r w:rsidRPr="00A06C9C">
        <w:rPr>
          <w:sz w:val="22"/>
          <w:szCs w:val="22"/>
        </w:rPr>
        <w:t>[</w:t>
      </w:r>
      <w:r w:rsidR="000A027A">
        <w:rPr>
          <w:sz w:val="22"/>
          <w:szCs w:val="22"/>
        </w:rPr>
        <w:t>Rule 62-212.400 (BACT)</w:t>
      </w:r>
      <w:r w:rsidRPr="00A06C9C">
        <w:rPr>
          <w:sz w:val="22"/>
          <w:szCs w:val="22"/>
        </w:rPr>
        <w:t>, F.A.C.]</w:t>
      </w:r>
    </w:p>
    <w:p w:rsidR="00F1455E" w:rsidRDefault="00F1455E" w:rsidP="00F1455E">
      <w:pPr>
        <w:spacing w:after="60"/>
        <w:ind w:left="360"/>
        <w:rPr>
          <w:i/>
          <w:sz w:val="22"/>
          <w:szCs w:val="22"/>
        </w:rPr>
      </w:pPr>
      <w:r>
        <w:rPr>
          <w:i/>
          <w:sz w:val="22"/>
          <w:szCs w:val="22"/>
        </w:rPr>
        <w:t xml:space="preserve">{Permitting </w:t>
      </w:r>
      <w:r w:rsidR="006C2E62">
        <w:rPr>
          <w:i/>
          <w:sz w:val="22"/>
          <w:szCs w:val="22"/>
        </w:rPr>
        <w:t>N</w:t>
      </w:r>
      <w:r>
        <w:rPr>
          <w:i/>
          <w:sz w:val="22"/>
          <w:szCs w:val="22"/>
        </w:rPr>
        <w:t>ote:  These BACT work practice standards provide an emissions limitation on all pollutants during periods of startup and shutdown.}</w:t>
      </w:r>
    </w:p>
    <w:p w:rsidR="00F1455E" w:rsidRPr="0033323C" w:rsidRDefault="00F1455E" w:rsidP="00F846A8">
      <w:pPr>
        <w:numPr>
          <w:ilvl w:val="0"/>
          <w:numId w:val="2"/>
        </w:numPr>
        <w:suppressAutoHyphens/>
        <w:spacing w:before="120" w:after="120"/>
        <w:rPr>
          <w:iCs/>
          <w:sz w:val="22"/>
          <w:szCs w:val="22"/>
        </w:rPr>
      </w:pPr>
      <w:r>
        <w:rPr>
          <w:sz w:val="22"/>
          <w:szCs w:val="22"/>
          <w:u w:val="single"/>
        </w:rPr>
        <w:t>Notification Requirements</w:t>
      </w:r>
      <w:r>
        <w:rPr>
          <w:sz w:val="22"/>
          <w:szCs w:val="22"/>
        </w:rPr>
        <w:t>: The owner or operator shall notify the Compliance Authority within one working day of discovering any emissions that demonstrate non-compliance for a</w:t>
      </w:r>
      <w:r w:rsidR="00DD2525">
        <w:rPr>
          <w:sz w:val="22"/>
          <w:szCs w:val="22"/>
        </w:rPr>
        <w:t xml:space="preserve"> given averaging period.  [Rule </w:t>
      </w:r>
      <w:r>
        <w:rPr>
          <w:sz w:val="22"/>
          <w:szCs w:val="22"/>
        </w:rPr>
        <w:t>62-4.070, F.A.C.]</w:t>
      </w:r>
    </w:p>
    <w:p w:rsidR="00F1455E" w:rsidRDefault="00F1455E" w:rsidP="00F1455E">
      <w:pPr>
        <w:spacing w:after="120"/>
        <w:rPr>
          <w:b/>
          <w:caps/>
          <w:color w:val="000000"/>
          <w:sz w:val="22"/>
          <w:szCs w:val="22"/>
        </w:rPr>
      </w:pPr>
      <w:r>
        <w:rPr>
          <w:b/>
          <w:caps/>
          <w:color w:val="000000"/>
          <w:sz w:val="22"/>
          <w:szCs w:val="22"/>
        </w:rPr>
        <w:t>Continuous Monitoring Requirements</w:t>
      </w:r>
    </w:p>
    <w:p w:rsidR="00F1455E" w:rsidRPr="0033323C" w:rsidRDefault="00F1455E" w:rsidP="0017609E">
      <w:pPr>
        <w:numPr>
          <w:ilvl w:val="0"/>
          <w:numId w:val="2"/>
        </w:numPr>
        <w:suppressAutoHyphens/>
        <w:spacing w:after="120"/>
        <w:rPr>
          <w:iCs/>
          <w:sz w:val="22"/>
          <w:szCs w:val="22"/>
        </w:rPr>
      </w:pPr>
      <w:r>
        <w:rPr>
          <w:sz w:val="22"/>
          <w:szCs w:val="22"/>
          <w:u w:val="single"/>
        </w:rPr>
        <w:t>CEMS</w:t>
      </w:r>
      <w:r>
        <w:rPr>
          <w:sz w:val="22"/>
          <w:szCs w:val="22"/>
        </w:rPr>
        <w:t>:  Subject to the following</w:t>
      </w:r>
      <w:r w:rsidR="00095E06">
        <w:rPr>
          <w:sz w:val="22"/>
          <w:szCs w:val="22"/>
        </w:rPr>
        <w:t xml:space="preserve"> requirements</w:t>
      </w:r>
      <w:r>
        <w:rPr>
          <w:sz w:val="22"/>
          <w:szCs w:val="22"/>
        </w:rPr>
        <w:t>, the permittee shall install, calibrate, operate, and maintain a CEMS to measure and record the emissions of NO</w:t>
      </w:r>
      <w:r>
        <w:rPr>
          <w:sz w:val="22"/>
          <w:szCs w:val="22"/>
          <w:vertAlign w:val="subscript"/>
        </w:rPr>
        <w:t>X</w:t>
      </w:r>
      <w:r>
        <w:rPr>
          <w:sz w:val="22"/>
          <w:szCs w:val="22"/>
        </w:rPr>
        <w:t xml:space="preserve"> from the combustion turbines in terms of the applicable standards.  The monitoring system shall be installed, and functioning within the required performance specifications by the time of the initial compliance demonstration.</w:t>
      </w:r>
    </w:p>
    <w:p w:rsidR="00F1455E" w:rsidRDefault="00F1455E" w:rsidP="0017609E">
      <w:pPr>
        <w:pStyle w:val="BodyTextIndent"/>
        <w:widowControl w:val="0"/>
        <w:numPr>
          <w:ilvl w:val="0"/>
          <w:numId w:val="20"/>
        </w:numPr>
        <w:spacing w:after="60"/>
        <w:jc w:val="left"/>
        <w:rPr>
          <w:szCs w:val="22"/>
        </w:rPr>
      </w:pPr>
      <w:r>
        <w:rPr>
          <w:i/>
          <w:szCs w:val="22"/>
        </w:rPr>
        <w:t>NO</w:t>
      </w:r>
      <w:r>
        <w:rPr>
          <w:i/>
          <w:szCs w:val="22"/>
          <w:vertAlign w:val="subscript"/>
        </w:rPr>
        <w:t>X</w:t>
      </w:r>
      <w:r>
        <w:rPr>
          <w:i/>
          <w:szCs w:val="22"/>
        </w:rPr>
        <w:t xml:space="preserve"> Monitor:</w:t>
      </w:r>
      <w:r>
        <w:rPr>
          <w:szCs w:val="22"/>
        </w:rPr>
        <w:t xml:space="preserve">  Each NO</w:t>
      </w:r>
      <w:r>
        <w:rPr>
          <w:szCs w:val="22"/>
          <w:vertAlign w:val="subscript"/>
        </w:rPr>
        <w:t>X</w:t>
      </w:r>
      <w:r>
        <w:rPr>
          <w:szCs w:val="22"/>
        </w:rPr>
        <w:t xml:space="preserve"> monitor shall be certified pursuant to the specifications of 40 CFR</w:t>
      </w:r>
      <w:r w:rsidR="00D76376">
        <w:rPr>
          <w:szCs w:val="22"/>
        </w:rPr>
        <w:t xml:space="preserve"> Part</w:t>
      </w:r>
      <w:r>
        <w:rPr>
          <w:szCs w:val="22"/>
        </w:rPr>
        <w:t xml:space="preserve"> 75.  Quality assurance procedures shall conform to the requirements of 40 CFR </w:t>
      </w:r>
      <w:r w:rsidR="00D76376">
        <w:rPr>
          <w:szCs w:val="22"/>
        </w:rPr>
        <w:t xml:space="preserve">Part </w:t>
      </w:r>
      <w:r>
        <w:rPr>
          <w:szCs w:val="22"/>
        </w:rPr>
        <w:t>75.  The annual and required RATA tests required for the NO</w:t>
      </w:r>
      <w:r>
        <w:rPr>
          <w:szCs w:val="22"/>
          <w:vertAlign w:val="subscript"/>
        </w:rPr>
        <w:t>X</w:t>
      </w:r>
      <w:r>
        <w:rPr>
          <w:szCs w:val="22"/>
        </w:rPr>
        <w:t xml:space="preserve"> monitor shall be performed using EPA Method 20 or 7E in Appendix A of 40 CFR 60.</w:t>
      </w:r>
    </w:p>
    <w:p w:rsidR="00F1455E" w:rsidRDefault="00F1455E" w:rsidP="0017609E">
      <w:pPr>
        <w:pStyle w:val="BodyTextIndent"/>
        <w:numPr>
          <w:ilvl w:val="0"/>
          <w:numId w:val="20"/>
        </w:numPr>
        <w:spacing w:after="60"/>
        <w:jc w:val="left"/>
        <w:rPr>
          <w:szCs w:val="22"/>
        </w:rPr>
      </w:pPr>
      <w:r>
        <w:rPr>
          <w:i/>
          <w:iCs/>
          <w:szCs w:val="22"/>
        </w:rPr>
        <w:t>Diluent Monitor:</w:t>
      </w:r>
      <w:r>
        <w:rPr>
          <w:szCs w:val="22"/>
        </w:rPr>
        <w:t xml:space="preserve">  The oxygen (O</w:t>
      </w:r>
      <w:r>
        <w:rPr>
          <w:szCs w:val="22"/>
          <w:vertAlign w:val="subscript"/>
        </w:rPr>
        <w:t>2</w:t>
      </w:r>
      <w:r>
        <w:rPr>
          <w:szCs w:val="22"/>
        </w:rPr>
        <w:t>) or carbon dioxide (CO</w:t>
      </w:r>
      <w:r>
        <w:rPr>
          <w:szCs w:val="22"/>
          <w:vertAlign w:val="subscript"/>
        </w:rPr>
        <w:t>2</w:t>
      </w:r>
      <w:r>
        <w:rPr>
          <w:szCs w:val="22"/>
        </w:rPr>
        <w:t>) content of the flue gas shall be monitored at the location where NO</w:t>
      </w:r>
      <w:r>
        <w:rPr>
          <w:szCs w:val="22"/>
          <w:vertAlign w:val="subscript"/>
        </w:rPr>
        <w:t>X</w:t>
      </w:r>
      <w:r>
        <w:rPr>
          <w:szCs w:val="22"/>
        </w:rPr>
        <w:t xml:space="preserve"> is monitored to correct the measured emissions rates to 15% O</w:t>
      </w:r>
      <w:r>
        <w:rPr>
          <w:szCs w:val="22"/>
          <w:vertAlign w:val="subscript"/>
        </w:rPr>
        <w:t>2</w:t>
      </w:r>
      <w:r>
        <w:rPr>
          <w:szCs w:val="22"/>
        </w:rPr>
        <w:t>.  If a CO</w:t>
      </w:r>
      <w:r>
        <w:rPr>
          <w:szCs w:val="22"/>
          <w:vertAlign w:val="subscript"/>
        </w:rPr>
        <w:t>2</w:t>
      </w:r>
      <w:r>
        <w:rPr>
          <w:szCs w:val="22"/>
        </w:rPr>
        <w:t xml:space="preserve"> monitor is installed, the O</w:t>
      </w:r>
      <w:r>
        <w:rPr>
          <w:szCs w:val="22"/>
          <w:vertAlign w:val="subscript"/>
        </w:rPr>
        <w:t>2</w:t>
      </w:r>
      <w:r>
        <w:rPr>
          <w:szCs w:val="22"/>
        </w:rPr>
        <w:t xml:space="preserve"> content of the flue gas shall be calculated using F-factors that are appropriate for the fuel fired.  Each monitor shall comply with the performance and quality assurance requirements of 40 CFR </w:t>
      </w:r>
      <w:r w:rsidR="009A1EA2">
        <w:rPr>
          <w:szCs w:val="22"/>
        </w:rPr>
        <w:t xml:space="preserve">Part </w:t>
      </w:r>
      <w:r>
        <w:rPr>
          <w:szCs w:val="22"/>
        </w:rPr>
        <w:t>75.</w:t>
      </w:r>
    </w:p>
    <w:p w:rsidR="00F1455E" w:rsidRDefault="00F1455E" w:rsidP="00F1455E">
      <w:pPr>
        <w:spacing w:after="120"/>
        <w:ind w:left="360"/>
        <w:rPr>
          <w:sz w:val="22"/>
          <w:szCs w:val="22"/>
        </w:rPr>
      </w:pPr>
      <w:r>
        <w:rPr>
          <w:sz w:val="22"/>
          <w:szCs w:val="22"/>
        </w:rPr>
        <w:t>[Rules 62-4.070(3), 62-21</w:t>
      </w:r>
      <w:r w:rsidR="00F44753">
        <w:rPr>
          <w:sz w:val="22"/>
          <w:szCs w:val="22"/>
        </w:rPr>
        <w:t>2</w:t>
      </w:r>
      <w:r>
        <w:rPr>
          <w:sz w:val="22"/>
          <w:szCs w:val="22"/>
        </w:rPr>
        <w:t>.</w:t>
      </w:r>
      <w:r w:rsidR="00F44753">
        <w:rPr>
          <w:sz w:val="22"/>
          <w:szCs w:val="22"/>
        </w:rPr>
        <w:t>4</w:t>
      </w:r>
      <w:r>
        <w:rPr>
          <w:sz w:val="22"/>
          <w:szCs w:val="22"/>
        </w:rPr>
        <w:t>00(BACT), F.A.C., and 40 CFR Part 75]</w:t>
      </w:r>
    </w:p>
    <w:p w:rsidR="00F1455E" w:rsidRDefault="00F1455E" w:rsidP="0017609E">
      <w:pPr>
        <w:numPr>
          <w:ilvl w:val="0"/>
          <w:numId w:val="2"/>
        </w:numPr>
        <w:suppressAutoHyphens/>
        <w:spacing w:after="120"/>
        <w:rPr>
          <w:sz w:val="22"/>
          <w:szCs w:val="22"/>
          <w:u w:val="single"/>
        </w:rPr>
      </w:pPr>
      <w:r>
        <w:rPr>
          <w:iCs/>
          <w:sz w:val="22"/>
          <w:szCs w:val="22"/>
          <w:u w:val="single"/>
        </w:rPr>
        <w:t xml:space="preserve">Moisture </w:t>
      </w:r>
      <w:r w:rsidRPr="0017609E">
        <w:rPr>
          <w:sz w:val="22"/>
          <w:szCs w:val="22"/>
          <w:u w:val="single"/>
        </w:rPr>
        <w:t>Correction</w:t>
      </w:r>
      <w:r>
        <w:rPr>
          <w:iCs/>
          <w:sz w:val="22"/>
          <w:szCs w:val="22"/>
          <w:u w:val="single"/>
        </w:rPr>
        <w:t>:</w:t>
      </w:r>
      <w:r>
        <w:rPr>
          <w:sz w:val="22"/>
          <w:szCs w:val="22"/>
        </w:rPr>
        <w:t xml:space="preserve">  If necessary, the owner or operator shall determine the moisture content of the exhaust gas and develop an algorithm to enable correction of the monitoring results to a dry basis (0%</w:t>
      </w:r>
      <w:r w:rsidR="004D58C1">
        <w:rPr>
          <w:sz w:val="22"/>
          <w:szCs w:val="22"/>
        </w:rPr>
        <w:t xml:space="preserve"> moisture).  [Rules 62</w:t>
      </w:r>
      <w:r w:rsidR="004D58C1">
        <w:rPr>
          <w:sz w:val="22"/>
          <w:szCs w:val="22"/>
        </w:rPr>
        <w:noBreakHyphen/>
        <w:t>4.070(3) and</w:t>
      </w:r>
      <w:r>
        <w:rPr>
          <w:sz w:val="22"/>
          <w:szCs w:val="22"/>
        </w:rPr>
        <w:t xml:space="preserve"> 62</w:t>
      </w:r>
      <w:r>
        <w:rPr>
          <w:sz w:val="22"/>
          <w:szCs w:val="22"/>
        </w:rPr>
        <w:noBreakHyphen/>
        <w:t>21</w:t>
      </w:r>
      <w:r w:rsidR="00F44753">
        <w:rPr>
          <w:sz w:val="22"/>
          <w:szCs w:val="22"/>
        </w:rPr>
        <w:t>2</w:t>
      </w:r>
      <w:r>
        <w:rPr>
          <w:sz w:val="22"/>
          <w:szCs w:val="22"/>
        </w:rPr>
        <w:t>.</w:t>
      </w:r>
      <w:r w:rsidR="00F44753">
        <w:rPr>
          <w:sz w:val="22"/>
          <w:szCs w:val="22"/>
        </w:rPr>
        <w:t>4</w:t>
      </w:r>
      <w:r>
        <w:rPr>
          <w:sz w:val="22"/>
          <w:szCs w:val="22"/>
        </w:rPr>
        <w:t>00(BACT), F.A.C]</w:t>
      </w:r>
    </w:p>
    <w:p w:rsidR="00F1455E" w:rsidRDefault="00F1455E" w:rsidP="0017609E">
      <w:pPr>
        <w:numPr>
          <w:ilvl w:val="0"/>
          <w:numId w:val="2"/>
        </w:numPr>
        <w:suppressAutoHyphens/>
        <w:spacing w:after="120"/>
        <w:rPr>
          <w:sz w:val="22"/>
          <w:szCs w:val="22"/>
          <w:u w:val="single"/>
        </w:rPr>
      </w:pPr>
      <w:r>
        <w:rPr>
          <w:sz w:val="22"/>
          <w:szCs w:val="22"/>
          <w:u w:val="single"/>
        </w:rPr>
        <w:t xml:space="preserve">CEMS Data Requirements for </w:t>
      </w:r>
      <w:r w:rsidR="00F30A74">
        <w:rPr>
          <w:sz w:val="22"/>
          <w:szCs w:val="22"/>
          <w:u w:val="single"/>
        </w:rPr>
        <w:t>NO</w:t>
      </w:r>
      <w:r w:rsidR="00F30A74" w:rsidRPr="00F30A74">
        <w:rPr>
          <w:sz w:val="22"/>
          <w:szCs w:val="22"/>
          <w:u w:val="single"/>
          <w:vertAlign w:val="subscript"/>
        </w:rPr>
        <w:t>X</w:t>
      </w:r>
      <w:r w:rsidR="00F30A74">
        <w:rPr>
          <w:sz w:val="22"/>
          <w:szCs w:val="22"/>
          <w:u w:val="single"/>
        </w:rPr>
        <w:t xml:space="preserve"> </w:t>
      </w:r>
      <w:r>
        <w:rPr>
          <w:sz w:val="22"/>
          <w:szCs w:val="22"/>
          <w:u w:val="single"/>
        </w:rPr>
        <w:t>BACT Standards</w:t>
      </w:r>
      <w:r>
        <w:rPr>
          <w:sz w:val="22"/>
          <w:szCs w:val="22"/>
        </w:rPr>
        <w:t>:</w:t>
      </w:r>
    </w:p>
    <w:p w:rsidR="00F1455E" w:rsidRDefault="00F1455E" w:rsidP="00F1455E">
      <w:pPr>
        <w:spacing w:after="60"/>
        <w:ind w:left="360"/>
        <w:rPr>
          <w:i/>
          <w:iCs/>
          <w:sz w:val="22"/>
          <w:szCs w:val="22"/>
        </w:rPr>
      </w:pPr>
      <w:r>
        <w:rPr>
          <w:i/>
          <w:iCs/>
          <w:sz w:val="22"/>
          <w:szCs w:val="22"/>
        </w:rPr>
        <w:t>{Permitting Note:  The following conditions apply only to the SIP-based NO</w:t>
      </w:r>
      <w:r>
        <w:rPr>
          <w:i/>
          <w:iCs/>
          <w:sz w:val="22"/>
          <w:szCs w:val="22"/>
          <w:vertAlign w:val="subscript"/>
        </w:rPr>
        <w:t>X</w:t>
      </w:r>
      <w:r>
        <w:rPr>
          <w:i/>
          <w:iCs/>
          <w:sz w:val="22"/>
          <w:szCs w:val="22"/>
        </w:rPr>
        <w:t xml:space="preserve"> emissions standards in </w:t>
      </w:r>
      <w:r>
        <w:rPr>
          <w:b/>
          <w:i/>
          <w:iCs/>
          <w:sz w:val="22"/>
          <w:szCs w:val="22"/>
        </w:rPr>
        <w:t xml:space="preserve">Specific Condition </w:t>
      </w:r>
      <w:r w:rsidR="006B7D69">
        <w:rPr>
          <w:b/>
          <w:i/>
          <w:iCs/>
          <w:sz w:val="22"/>
          <w:szCs w:val="22"/>
        </w:rPr>
        <w:fldChar w:fldCharType="begin"/>
      </w:r>
      <w:r w:rsidR="006B7D69">
        <w:rPr>
          <w:b/>
          <w:i/>
          <w:iCs/>
          <w:sz w:val="22"/>
          <w:szCs w:val="22"/>
        </w:rPr>
        <w:instrText xml:space="preserve"> REF _Ref511649349 \r \h </w:instrText>
      </w:r>
      <w:r w:rsidR="006B7D69">
        <w:rPr>
          <w:b/>
          <w:i/>
          <w:iCs/>
          <w:sz w:val="22"/>
          <w:szCs w:val="22"/>
        </w:rPr>
      </w:r>
      <w:r w:rsidR="006B7D69">
        <w:rPr>
          <w:b/>
          <w:i/>
          <w:iCs/>
          <w:sz w:val="22"/>
          <w:szCs w:val="22"/>
        </w:rPr>
        <w:fldChar w:fldCharType="separate"/>
      </w:r>
      <w:r w:rsidR="006D04C9">
        <w:rPr>
          <w:b/>
          <w:i/>
          <w:iCs/>
          <w:sz w:val="22"/>
          <w:szCs w:val="22"/>
        </w:rPr>
        <w:t>8</w:t>
      </w:r>
      <w:r w:rsidR="006B7D69">
        <w:rPr>
          <w:b/>
          <w:i/>
          <w:iCs/>
          <w:sz w:val="22"/>
          <w:szCs w:val="22"/>
        </w:rPr>
        <w:fldChar w:fldCharType="end"/>
      </w:r>
      <w:r>
        <w:t xml:space="preserve"> </w:t>
      </w:r>
      <w:r>
        <w:rPr>
          <w:i/>
          <w:iCs/>
          <w:sz w:val="22"/>
          <w:szCs w:val="22"/>
        </w:rPr>
        <w:fldChar w:fldCharType="begin"/>
      </w:r>
      <w:r>
        <w:rPr>
          <w:i/>
          <w:iCs/>
          <w:sz w:val="22"/>
          <w:szCs w:val="22"/>
        </w:rPr>
        <w:instrText xml:space="preserve"> REF EmissionStandards \h  \* MERGEFORMAT </w:instrText>
      </w:r>
      <w:r>
        <w:rPr>
          <w:i/>
          <w:iCs/>
          <w:sz w:val="22"/>
          <w:szCs w:val="22"/>
        </w:rPr>
      </w:r>
      <w:r>
        <w:rPr>
          <w:i/>
          <w:iCs/>
          <w:sz w:val="22"/>
          <w:szCs w:val="22"/>
        </w:rPr>
        <w:fldChar w:fldCharType="end"/>
      </w:r>
      <w:r>
        <w:rPr>
          <w:i/>
          <w:iCs/>
          <w:sz w:val="22"/>
          <w:szCs w:val="22"/>
        </w:rPr>
        <w:fldChar w:fldCharType="begin"/>
      </w:r>
      <w:r>
        <w:rPr>
          <w:i/>
          <w:iCs/>
          <w:sz w:val="22"/>
          <w:szCs w:val="22"/>
        </w:rPr>
        <w:instrText xml:space="preserve"> REF EmissionStandards \h  \* MERGEFORMAT </w:instrText>
      </w:r>
      <w:r>
        <w:rPr>
          <w:i/>
          <w:iCs/>
          <w:sz w:val="22"/>
          <w:szCs w:val="22"/>
        </w:rPr>
      </w:r>
      <w:r>
        <w:rPr>
          <w:i/>
          <w:iCs/>
          <w:sz w:val="22"/>
          <w:szCs w:val="22"/>
        </w:rPr>
        <w:fldChar w:fldCharType="end"/>
      </w:r>
      <w:r>
        <w:rPr>
          <w:i/>
          <w:iCs/>
          <w:sz w:val="22"/>
          <w:szCs w:val="22"/>
        </w:rPr>
        <w:t>of this section.  These requirements cannot vary or supersede any federal provision of the NSPS, or Acid Rain programs.  Additional reporting and monitoring may be required by the individual subparts.}</w:t>
      </w:r>
    </w:p>
    <w:p w:rsidR="00F1455E" w:rsidRDefault="00F1455E" w:rsidP="0017609E">
      <w:pPr>
        <w:pStyle w:val="BodyTextIndent"/>
        <w:numPr>
          <w:ilvl w:val="0"/>
          <w:numId w:val="21"/>
        </w:numPr>
        <w:spacing w:after="60"/>
        <w:jc w:val="left"/>
        <w:rPr>
          <w:szCs w:val="22"/>
        </w:rPr>
      </w:pPr>
      <w:r>
        <w:rPr>
          <w:i/>
          <w:szCs w:val="22"/>
        </w:rPr>
        <w:lastRenderedPageBreak/>
        <w:t>Data Collection</w:t>
      </w:r>
      <w:r>
        <w:rPr>
          <w:szCs w:val="22"/>
        </w:rPr>
        <w:t>:  Except for continuous monitoring system breakdowns, repairs, calibration checks, and zero and span adjustments, emissions shall be monitored and recorded during all operation including startup, shutdown, and malfunction.</w:t>
      </w:r>
    </w:p>
    <w:p w:rsidR="00F1455E" w:rsidRDefault="00F1455E" w:rsidP="0017609E">
      <w:pPr>
        <w:pStyle w:val="BodyTextIndent"/>
        <w:numPr>
          <w:ilvl w:val="0"/>
          <w:numId w:val="21"/>
        </w:numPr>
        <w:spacing w:after="60"/>
        <w:jc w:val="left"/>
        <w:rPr>
          <w:szCs w:val="22"/>
        </w:rPr>
      </w:pPr>
      <w:r>
        <w:rPr>
          <w:i/>
          <w:szCs w:val="22"/>
        </w:rPr>
        <w:t>Operating Hours and Operating Days</w:t>
      </w:r>
      <w:r>
        <w:rPr>
          <w:szCs w:val="22"/>
        </w:rPr>
        <w:t>:  An hour is the 60-minute period beginning at the top of each hour.  Any hour during which an emissions unit is in operation for more than 15 minutes is an operating hour for that emission unit.  A day is the 24-hour period from midnight to midnight.  Any day with at least one operating hour for an emissions unit is an operating day for that emission unit.</w:t>
      </w:r>
    </w:p>
    <w:p w:rsidR="00F1455E" w:rsidRDefault="00F1455E" w:rsidP="0017609E">
      <w:pPr>
        <w:pStyle w:val="BodyTextIndent"/>
        <w:numPr>
          <w:ilvl w:val="0"/>
          <w:numId w:val="21"/>
        </w:numPr>
        <w:spacing w:after="60"/>
        <w:jc w:val="left"/>
        <w:rPr>
          <w:szCs w:val="22"/>
        </w:rPr>
      </w:pPr>
      <w:r w:rsidRPr="00DD16B4">
        <w:rPr>
          <w:i/>
          <w:szCs w:val="22"/>
        </w:rPr>
        <w:t>Valid Hour</w:t>
      </w:r>
      <w:r w:rsidRPr="00DD16B4">
        <w:rPr>
          <w:szCs w:val="22"/>
        </w:rPr>
        <w:t>:  Each</w:t>
      </w:r>
      <w:r>
        <w:rPr>
          <w:szCs w:val="22"/>
        </w:rPr>
        <w:t xml:space="preserve"> CEMS shall be designed and operated to sample, analyze, and record data evenly spaced over the hour at a minimum of one measurement per minute.  All valid measurements collected during an hour shall be used to calculate a 1-hour block average that begins at the top of each hour.  </w:t>
      </w:r>
    </w:p>
    <w:p w:rsidR="00F1455E" w:rsidRDefault="00F1455E" w:rsidP="0017609E">
      <w:pPr>
        <w:pStyle w:val="BodyTextIndent"/>
        <w:numPr>
          <w:ilvl w:val="1"/>
          <w:numId w:val="21"/>
        </w:numPr>
        <w:spacing w:after="60"/>
        <w:ind w:left="1080"/>
        <w:jc w:val="left"/>
        <w:rPr>
          <w:szCs w:val="22"/>
        </w:rPr>
      </w:pPr>
      <w:bookmarkStart w:id="34" w:name="OLE_LINK2"/>
      <w:bookmarkStart w:id="35" w:name="OLE_LINK1"/>
      <w:r>
        <w:rPr>
          <w:szCs w:val="22"/>
        </w:rPr>
        <w:t>Hours that are</w:t>
      </w:r>
      <w:r>
        <w:rPr>
          <w:b/>
          <w:szCs w:val="22"/>
        </w:rPr>
        <w:t xml:space="preserve"> not operating </w:t>
      </w:r>
      <w:r>
        <w:rPr>
          <w:szCs w:val="22"/>
        </w:rPr>
        <w:t>hours are</w:t>
      </w:r>
      <w:r>
        <w:rPr>
          <w:b/>
          <w:szCs w:val="22"/>
        </w:rPr>
        <w:t xml:space="preserve"> not valid </w:t>
      </w:r>
      <w:r>
        <w:rPr>
          <w:szCs w:val="22"/>
        </w:rPr>
        <w:t>hours.</w:t>
      </w:r>
    </w:p>
    <w:p w:rsidR="00F1455E" w:rsidRDefault="00F1455E" w:rsidP="0017609E">
      <w:pPr>
        <w:pStyle w:val="BodyTextIndent"/>
        <w:numPr>
          <w:ilvl w:val="1"/>
          <w:numId w:val="21"/>
        </w:numPr>
        <w:spacing w:after="60"/>
        <w:ind w:left="1080"/>
        <w:jc w:val="left"/>
        <w:rPr>
          <w:szCs w:val="22"/>
        </w:rPr>
      </w:pPr>
      <w:r>
        <w:rPr>
          <w:szCs w:val="22"/>
        </w:rPr>
        <w:t>For each operating hour, the 1-hour block average shall be computed from at least two data points separated by a minimum of 15 minutes (where the unit operates for more than one quadrant of an hour).  If less than two such data points are available, there is insufficient data and the 1-hour block average is not valid.</w:t>
      </w:r>
    </w:p>
    <w:p w:rsidR="00AD58B6" w:rsidRPr="00AD58B6" w:rsidRDefault="00AD58B6" w:rsidP="00AD58B6">
      <w:pPr>
        <w:pStyle w:val="BodyTextIndent"/>
        <w:spacing w:after="60"/>
        <w:ind w:left="720"/>
        <w:jc w:val="left"/>
        <w:rPr>
          <w:i/>
          <w:szCs w:val="22"/>
        </w:rPr>
      </w:pPr>
      <w:r w:rsidRPr="00AD58B6">
        <w:rPr>
          <w:i/>
          <w:szCs w:val="22"/>
        </w:rPr>
        <w:t>{Permitting Note:  Data collected during periods when a quality assurance/quality control or span check operation occurs are not valid and data collected during a monitor malfunction are not valid.}</w:t>
      </w:r>
    </w:p>
    <w:p w:rsidR="00F1455E" w:rsidRDefault="00F1455E" w:rsidP="0017609E">
      <w:pPr>
        <w:numPr>
          <w:ilvl w:val="0"/>
          <w:numId w:val="21"/>
        </w:numPr>
        <w:spacing w:after="60"/>
        <w:rPr>
          <w:sz w:val="22"/>
          <w:szCs w:val="22"/>
        </w:rPr>
      </w:pPr>
      <w:r>
        <w:rPr>
          <w:i/>
          <w:iCs/>
          <w:sz w:val="22"/>
          <w:szCs w:val="22"/>
        </w:rPr>
        <w:t>24-hour Block Averages</w:t>
      </w:r>
      <w:r>
        <w:rPr>
          <w:sz w:val="22"/>
          <w:szCs w:val="22"/>
        </w:rPr>
        <w:t xml:space="preserve">:  A 24-hour block shall begin at midnight of each operating day and shall be calculated from 24 consecutive valid hourly average concentration values.  If a unit operates less than 24 hours during the block, or there are less than 24 valid hourly averages available, the 24-hour block average shall be the average of all available valid hourly average concentration values for the 24-hour block.  </w:t>
      </w:r>
      <w:r>
        <w:rPr>
          <w:i/>
          <w:sz w:val="22"/>
          <w:szCs w:val="22"/>
        </w:rPr>
        <w:t>{Permitting Note:  For purposes of determining compliance with the 24-hour CEMS standards, the missing data substitution methodology of 40 CFR Part 75, Subpart D, shall not be utilized.  Instead, the 24-hour block average shall be determined using the remaining hourly data in the 24-hour block and periods of missing CEMS data are to be reported as monitor downtime in the excess emissions and monitoring performance reports.  For example, the "24-hr block average" may consist of only 6 valid operating hours for the day.}</w:t>
      </w:r>
    </w:p>
    <w:bookmarkEnd w:id="34"/>
    <w:bookmarkEnd w:id="35"/>
    <w:p w:rsidR="00F1455E" w:rsidRDefault="00F1455E" w:rsidP="0017609E">
      <w:pPr>
        <w:pStyle w:val="BodyTextIndent"/>
        <w:numPr>
          <w:ilvl w:val="0"/>
          <w:numId w:val="21"/>
        </w:numPr>
        <w:spacing w:after="60"/>
        <w:jc w:val="left"/>
        <w:rPr>
          <w:strike/>
          <w:szCs w:val="22"/>
        </w:rPr>
      </w:pPr>
      <w:r>
        <w:rPr>
          <w:i/>
          <w:szCs w:val="22"/>
        </w:rPr>
        <w:t>Data Collection:</w:t>
      </w:r>
      <w:r>
        <w:rPr>
          <w:szCs w:val="22"/>
        </w:rPr>
        <w:t xml:space="preserve">  Each CEMS shall monitor and record emissions during all operations including episodes of startup, shutdown, malfunction, </w:t>
      </w:r>
      <w:r w:rsidR="00F05F14">
        <w:rPr>
          <w:szCs w:val="22"/>
        </w:rPr>
        <w:t xml:space="preserve">SCR tuning </w:t>
      </w:r>
      <w:r w:rsidR="009E7B53">
        <w:rPr>
          <w:szCs w:val="22"/>
        </w:rPr>
        <w:t xml:space="preserve">and </w:t>
      </w:r>
      <w:r>
        <w:rPr>
          <w:szCs w:val="22"/>
        </w:rPr>
        <w:t>DLN tuning.</w:t>
      </w:r>
    </w:p>
    <w:p w:rsidR="00F1455E" w:rsidRDefault="00F1455E" w:rsidP="0017609E">
      <w:pPr>
        <w:pStyle w:val="BodyTextIndent"/>
        <w:numPr>
          <w:ilvl w:val="0"/>
          <w:numId w:val="21"/>
        </w:numPr>
        <w:spacing w:after="60"/>
        <w:jc w:val="left"/>
        <w:rPr>
          <w:szCs w:val="22"/>
        </w:rPr>
      </w:pPr>
      <w:r>
        <w:rPr>
          <w:i/>
          <w:szCs w:val="22"/>
        </w:rPr>
        <w:t>Availability</w:t>
      </w:r>
      <w:r>
        <w:rPr>
          <w:szCs w:val="22"/>
        </w:rPr>
        <w:t xml:space="preserve">:  </w:t>
      </w:r>
      <w:r>
        <w:rPr>
          <w:snapToGrid w:val="0"/>
          <w:szCs w:val="22"/>
        </w:rPr>
        <w:t>The quarterly excess emissions report shall identify monitor availability for each quarter in which the unit operated.</w:t>
      </w:r>
    </w:p>
    <w:p w:rsidR="00F1455E" w:rsidRDefault="00F1455E" w:rsidP="00F1455E">
      <w:pPr>
        <w:pStyle w:val="BodyTextIndent"/>
        <w:ind w:left="360"/>
        <w:rPr>
          <w:b/>
          <w:smallCaps/>
        </w:rPr>
      </w:pPr>
      <w:r>
        <w:t>[Rules 62</w:t>
      </w:r>
      <w:r>
        <w:noBreakHyphen/>
        <w:t>4.070(3) and 62</w:t>
      </w:r>
      <w:r>
        <w:noBreakHyphen/>
        <w:t>21</w:t>
      </w:r>
      <w:r w:rsidR="005F5150">
        <w:t>2</w:t>
      </w:r>
      <w:r>
        <w:t>.</w:t>
      </w:r>
      <w:r w:rsidR="005F5150">
        <w:t>4</w:t>
      </w:r>
      <w:r>
        <w:t>00(BACT), F.A.C.]</w:t>
      </w:r>
      <w:r>
        <w:rPr>
          <w:b/>
          <w:smallCaps/>
        </w:rPr>
        <w:tab/>
      </w:r>
    </w:p>
    <w:p w:rsidR="00F1455E" w:rsidRDefault="00F1455E" w:rsidP="0017609E">
      <w:pPr>
        <w:numPr>
          <w:ilvl w:val="0"/>
          <w:numId w:val="2"/>
        </w:numPr>
        <w:suppressAutoHyphens/>
        <w:spacing w:after="120"/>
        <w:rPr>
          <w:sz w:val="22"/>
          <w:szCs w:val="22"/>
        </w:rPr>
      </w:pPr>
      <w:bookmarkStart w:id="36" w:name="_Ref421787440"/>
      <w:r>
        <w:rPr>
          <w:sz w:val="22"/>
          <w:szCs w:val="22"/>
          <w:u w:val="single"/>
        </w:rPr>
        <w:t>GHG BACT and NSPS Subpart TTTT Monitoring Requirements</w:t>
      </w:r>
      <w:r>
        <w:rPr>
          <w:sz w:val="22"/>
          <w:szCs w:val="22"/>
        </w:rPr>
        <w:t>:</w:t>
      </w:r>
      <w:bookmarkEnd w:id="36"/>
    </w:p>
    <w:p w:rsidR="00F1455E" w:rsidRDefault="00F1455E" w:rsidP="00D83C7C">
      <w:pPr>
        <w:numPr>
          <w:ilvl w:val="0"/>
          <w:numId w:val="28"/>
        </w:numPr>
        <w:spacing w:after="60"/>
        <w:rPr>
          <w:sz w:val="22"/>
          <w:szCs w:val="22"/>
        </w:rPr>
      </w:pPr>
      <w:bookmarkStart w:id="37" w:name="_Ref421787427"/>
      <w:r>
        <w:rPr>
          <w:sz w:val="22"/>
          <w:szCs w:val="22"/>
        </w:rPr>
        <w:t>System Requirements:  The permittee shall install and certify monitoring systems required for quantifying CO</w:t>
      </w:r>
      <w:r>
        <w:rPr>
          <w:sz w:val="22"/>
          <w:szCs w:val="22"/>
          <w:vertAlign w:val="subscript"/>
        </w:rPr>
        <w:t>2</w:t>
      </w:r>
      <w:r>
        <w:rPr>
          <w:sz w:val="22"/>
          <w:szCs w:val="22"/>
        </w:rPr>
        <w:t xml:space="preserve"> emissions from each</w:t>
      </w:r>
      <w:r w:rsidR="00D837FB">
        <w:rPr>
          <w:sz w:val="22"/>
          <w:szCs w:val="22"/>
        </w:rPr>
        <w:t xml:space="preserve"> CTG</w:t>
      </w:r>
      <w:r>
        <w:rPr>
          <w:sz w:val="22"/>
          <w:szCs w:val="22"/>
        </w:rPr>
        <w:t xml:space="preserve"> in accordance with the applicable requirements in 40 CFR Part 75.  Consistent with 40 CFR 75.4(b), all applicable certification tests shall be completed within 180 calendar days after the date the unit commenced commercial operation (as defined in 40 CFR 72.2).  Following initial certification, the CO</w:t>
      </w:r>
      <w:r>
        <w:rPr>
          <w:sz w:val="22"/>
          <w:szCs w:val="22"/>
          <w:vertAlign w:val="subscript"/>
        </w:rPr>
        <w:t>2</w:t>
      </w:r>
      <w:r>
        <w:rPr>
          <w:sz w:val="22"/>
          <w:szCs w:val="22"/>
        </w:rPr>
        <w:t xml:space="preserve"> continuous measurement systems shall be quality assured in accordance with the applicable requirements in 40 CFR Part 75.  The CO</w:t>
      </w:r>
      <w:r>
        <w:rPr>
          <w:sz w:val="22"/>
          <w:szCs w:val="22"/>
          <w:vertAlign w:val="subscript"/>
        </w:rPr>
        <w:t>2</w:t>
      </w:r>
      <w:r>
        <w:rPr>
          <w:sz w:val="22"/>
          <w:szCs w:val="22"/>
        </w:rPr>
        <w:t xml:space="preserve"> continuous measurement system shall </w:t>
      </w:r>
      <w:proofErr w:type="gramStart"/>
      <w:r>
        <w:rPr>
          <w:sz w:val="22"/>
          <w:szCs w:val="22"/>
        </w:rPr>
        <w:t>be capable of producing</w:t>
      </w:r>
      <w:proofErr w:type="gramEnd"/>
      <w:r>
        <w:rPr>
          <w:sz w:val="22"/>
          <w:szCs w:val="22"/>
        </w:rPr>
        <w:t xml:space="preserve"> hourly determinations of CO</w:t>
      </w:r>
      <w:r>
        <w:rPr>
          <w:sz w:val="22"/>
          <w:szCs w:val="22"/>
          <w:vertAlign w:val="subscript"/>
        </w:rPr>
        <w:t>2</w:t>
      </w:r>
      <w:r>
        <w:rPr>
          <w:sz w:val="22"/>
          <w:szCs w:val="22"/>
        </w:rPr>
        <w:t xml:space="preserve"> mass emissions in tons per hour.</w:t>
      </w:r>
      <w:bookmarkEnd w:id="37"/>
    </w:p>
    <w:p w:rsidR="00F1455E" w:rsidRDefault="00F1455E" w:rsidP="00D83C7C">
      <w:pPr>
        <w:numPr>
          <w:ilvl w:val="0"/>
          <w:numId w:val="28"/>
        </w:numPr>
        <w:spacing w:after="60"/>
        <w:rPr>
          <w:sz w:val="22"/>
          <w:szCs w:val="22"/>
        </w:rPr>
      </w:pPr>
      <w:r>
        <w:rPr>
          <w:sz w:val="22"/>
          <w:szCs w:val="22"/>
        </w:rPr>
        <w:t>The permittee shall submit an initial monitoring plan that identifies the methodology by which CO</w:t>
      </w:r>
      <w:r>
        <w:rPr>
          <w:sz w:val="22"/>
          <w:szCs w:val="22"/>
          <w:vertAlign w:val="subscript"/>
        </w:rPr>
        <w:t>2</w:t>
      </w:r>
      <w:r>
        <w:rPr>
          <w:sz w:val="22"/>
          <w:szCs w:val="22"/>
        </w:rPr>
        <w:t xml:space="preserve"> mass emissions will be continuously monitored.  The permittee shall submit this monitoring plan no later than 21 days prior to the initial certification tests required in </w:t>
      </w:r>
      <w:r>
        <w:rPr>
          <w:b/>
          <w:sz w:val="22"/>
          <w:szCs w:val="22"/>
        </w:rPr>
        <w:t xml:space="preserve">Specific Condition </w:t>
      </w:r>
      <w:r w:rsidR="002A2433">
        <w:rPr>
          <w:b/>
          <w:sz w:val="22"/>
          <w:szCs w:val="22"/>
        </w:rPr>
        <w:t>25.</w:t>
      </w:r>
      <w:r w:rsidR="002A2433">
        <w:rPr>
          <w:b/>
          <w:sz w:val="22"/>
          <w:szCs w:val="22"/>
        </w:rPr>
        <w:fldChar w:fldCharType="begin"/>
      </w:r>
      <w:r w:rsidR="002A2433">
        <w:rPr>
          <w:b/>
          <w:sz w:val="22"/>
          <w:szCs w:val="22"/>
        </w:rPr>
        <w:instrText xml:space="preserve"> REF _Ref421787427 \r \h </w:instrText>
      </w:r>
      <w:r w:rsidR="002A2433">
        <w:rPr>
          <w:b/>
          <w:sz w:val="22"/>
          <w:szCs w:val="22"/>
        </w:rPr>
      </w:r>
      <w:r w:rsidR="002A2433">
        <w:rPr>
          <w:b/>
          <w:sz w:val="22"/>
          <w:szCs w:val="22"/>
        </w:rPr>
        <w:fldChar w:fldCharType="separate"/>
      </w:r>
      <w:r w:rsidR="006D04C9">
        <w:rPr>
          <w:b/>
          <w:sz w:val="22"/>
          <w:szCs w:val="22"/>
        </w:rPr>
        <w:t>a</w:t>
      </w:r>
      <w:r w:rsidR="002A2433">
        <w:rPr>
          <w:b/>
          <w:sz w:val="22"/>
          <w:szCs w:val="22"/>
        </w:rPr>
        <w:fldChar w:fldCharType="end"/>
      </w:r>
      <w:r>
        <w:rPr>
          <w:sz w:val="22"/>
          <w:szCs w:val="22"/>
        </w:rPr>
        <w:t>.</w:t>
      </w:r>
    </w:p>
    <w:p w:rsidR="00F1455E" w:rsidRDefault="00F1455E" w:rsidP="00D83C7C">
      <w:pPr>
        <w:numPr>
          <w:ilvl w:val="0"/>
          <w:numId w:val="28"/>
        </w:numPr>
        <w:spacing w:after="60"/>
        <w:rPr>
          <w:sz w:val="22"/>
          <w:szCs w:val="22"/>
        </w:rPr>
      </w:pPr>
      <w:r>
        <w:rPr>
          <w:sz w:val="22"/>
          <w:szCs w:val="22"/>
        </w:rPr>
        <w:t>The permittee shall provide notifications as specified in 40 CFR 75.61 for any event related to the continuous measurement of CO</w:t>
      </w:r>
      <w:r>
        <w:rPr>
          <w:sz w:val="22"/>
          <w:szCs w:val="22"/>
          <w:vertAlign w:val="subscript"/>
        </w:rPr>
        <w:t>2</w:t>
      </w:r>
      <w:r>
        <w:rPr>
          <w:sz w:val="22"/>
          <w:szCs w:val="22"/>
        </w:rPr>
        <w:t>.</w:t>
      </w:r>
    </w:p>
    <w:p w:rsidR="00F1455E" w:rsidRDefault="00F1455E" w:rsidP="00D83C7C">
      <w:pPr>
        <w:numPr>
          <w:ilvl w:val="0"/>
          <w:numId w:val="28"/>
        </w:numPr>
        <w:spacing w:after="60"/>
        <w:rPr>
          <w:sz w:val="22"/>
          <w:szCs w:val="22"/>
        </w:rPr>
      </w:pPr>
      <w:r>
        <w:rPr>
          <w:sz w:val="22"/>
          <w:szCs w:val="22"/>
        </w:rPr>
        <w:t>The perm</w:t>
      </w:r>
      <w:r w:rsidR="00BE788F">
        <w:rPr>
          <w:sz w:val="22"/>
          <w:szCs w:val="22"/>
        </w:rPr>
        <w:t xml:space="preserve">ittee shall measure and record </w:t>
      </w:r>
      <w:r>
        <w:rPr>
          <w:sz w:val="22"/>
          <w:szCs w:val="22"/>
        </w:rPr>
        <w:t>the following data on an hourly basis:</w:t>
      </w:r>
    </w:p>
    <w:p w:rsidR="00F1455E" w:rsidRDefault="00F1455E" w:rsidP="00EC381A">
      <w:pPr>
        <w:pStyle w:val="BodyTextIndent"/>
        <w:numPr>
          <w:ilvl w:val="1"/>
          <w:numId w:val="21"/>
        </w:numPr>
        <w:spacing w:after="60"/>
        <w:ind w:left="1080"/>
        <w:jc w:val="left"/>
        <w:rPr>
          <w:szCs w:val="22"/>
        </w:rPr>
      </w:pPr>
      <w:r>
        <w:rPr>
          <w:szCs w:val="22"/>
        </w:rPr>
        <w:lastRenderedPageBreak/>
        <w:t>Gross energy output (MW)</w:t>
      </w:r>
    </w:p>
    <w:p w:rsidR="00F1455E" w:rsidRDefault="00F1455E" w:rsidP="00EC381A">
      <w:pPr>
        <w:pStyle w:val="BodyTextIndent"/>
        <w:numPr>
          <w:ilvl w:val="1"/>
          <w:numId w:val="21"/>
        </w:numPr>
        <w:spacing w:after="60"/>
        <w:ind w:left="1080"/>
        <w:jc w:val="left"/>
        <w:rPr>
          <w:szCs w:val="22"/>
        </w:rPr>
      </w:pPr>
      <w:r>
        <w:rPr>
          <w:szCs w:val="22"/>
        </w:rPr>
        <w:t>CO</w:t>
      </w:r>
      <w:r w:rsidRPr="00EC381A">
        <w:rPr>
          <w:szCs w:val="22"/>
          <w:vertAlign w:val="subscript"/>
        </w:rPr>
        <w:t>2</w:t>
      </w:r>
      <w:r>
        <w:rPr>
          <w:szCs w:val="22"/>
        </w:rPr>
        <w:t xml:space="preserve"> mass emissions (tons or pounds)</w:t>
      </w:r>
    </w:p>
    <w:p w:rsidR="00F1455E" w:rsidRDefault="00F1455E" w:rsidP="00EC381A">
      <w:pPr>
        <w:pStyle w:val="BodyTextIndent"/>
        <w:numPr>
          <w:ilvl w:val="1"/>
          <w:numId w:val="21"/>
        </w:numPr>
        <w:spacing w:after="60"/>
        <w:ind w:left="1080"/>
        <w:jc w:val="left"/>
        <w:rPr>
          <w:szCs w:val="22"/>
        </w:rPr>
      </w:pPr>
      <w:r>
        <w:rPr>
          <w:szCs w:val="22"/>
        </w:rPr>
        <w:t>Fuel heat input (MMBtu)</w:t>
      </w:r>
    </w:p>
    <w:p w:rsidR="00F1455E" w:rsidRDefault="00F1455E" w:rsidP="00F1455E">
      <w:pPr>
        <w:pStyle w:val="ListParagraph"/>
        <w:widowControl w:val="0"/>
        <w:spacing w:before="120" w:after="120"/>
        <w:ind w:left="360"/>
        <w:rPr>
          <w:sz w:val="22"/>
          <w:szCs w:val="22"/>
        </w:rPr>
      </w:pPr>
      <w:r>
        <w:rPr>
          <w:sz w:val="22"/>
          <w:szCs w:val="22"/>
        </w:rPr>
        <w:t>[</w:t>
      </w:r>
      <w:r w:rsidR="00792613">
        <w:rPr>
          <w:sz w:val="22"/>
          <w:szCs w:val="22"/>
        </w:rPr>
        <w:t>Rule 62-21</w:t>
      </w:r>
      <w:r w:rsidR="00353577">
        <w:rPr>
          <w:sz w:val="22"/>
          <w:szCs w:val="22"/>
        </w:rPr>
        <w:t>2</w:t>
      </w:r>
      <w:r w:rsidR="00792613">
        <w:rPr>
          <w:sz w:val="22"/>
          <w:szCs w:val="22"/>
        </w:rPr>
        <w:t>.</w:t>
      </w:r>
      <w:r w:rsidR="00353577">
        <w:rPr>
          <w:sz w:val="22"/>
          <w:szCs w:val="22"/>
        </w:rPr>
        <w:t>4</w:t>
      </w:r>
      <w:r w:rsidR="00792613">
        <w:rPr>
          <w:sz w:val="22"/>
          <w:szCs w:val="22"/>
        </w:rPr>
        <w:t>00(BACT)</w:t>
      </w:r>
      <w:r w:rsidR="00802F57">
        <w:rPr>
          <w:sz w:val="22"/>
          <w:szCs w:val="22"/>
        </w:rPr>
        <w:t>, F.A.C,</w:t>
      </w:r>
      <w:r>
        <w:rPr>
          <w:sz w:val="22"/>
          <w:szCs w:val="22"/>
        </w:rPr>
        <w:t xml:space="preserve"> </w:t>
      </w:r>
      <w:r w:rsidR="00802F57">
        <w:rPr>
          <w:sz w:val="22"/>
          <w:szCs w:val="22"/>
        </w:rPr>
        <w:t xml:space="preserve">40 </w:t>
      </w:r>
      <w:r>
        <w:rPr>
          <w:sz w:val="22"/>
          <w:szCs w:val="22"/>
        </w:rPr>
        <w:t>CFR 60.5535, and</w:t>
      </w:r>
      <w:r w:rsidR="00792613" w:rsidRPr="00792613">
        <w:rPr>
          <w:sz w:val="22"/>
          <w:szCs w:val="22"/>
        </w:rPr>
        <w:t xml:space="preserve"> </w:t>
      </w:r>
      <w:r w:rsidR="00792613">
        <w:rPr>
          <w:sz w:val="22"/>
          <w:szCs w:val="22"/>
        </w:rPr>
        <w:t xml:space="preserve">Application </w:t>
      </w:r>
      <w:r w:rsidR="00802F57">
        <w:rPr>
          <w:sz w:val="22"/>
          <w:szCs w:val="22"/>
        </w:rPr>
        <w:t xml:space="preserve">No. </w:t>
      </w:r>
      <w:r w:rsidR="00B519E0">
        <w:rPr>
          <w:sz w:val="22"/>
          <w:szCs w:val="22"/>
        </w:rPr>
        <w:t>1010524</w:t>
      </w:r>
      <w:r w:rsidR="00792613">
        <w:rPr>
          <w:sz w:val="22"/>
          <w:szCs w:val="22"/>
        </w:rPr>
        <w:t>-</w:t>
      </w:r>
      <w:r w:rsidR="00B519E0">
        <w:rPr>
          <w:sz w:val="22"/>
          <w:szCs w:val="22"/>
        </w:rPr>
        <w:t>001</w:t>
      </w:r>
      <w:r w:rsidR="00792613">
        <w:rPr>
          <w:sz w:val="22"/>
          <w:szCs w:val="22"/>
        </w:rPr>
        <w:t>-AC]</w:t>
      </w:r>
    </w:p>
    <w:p w:rsidR="00F1455E" w:rsidRDefault="00F1455E" w:rsidP="00F1455E">
      <w:pPr>
        <w:widowControl w:val="0"/>
        <w:spacing w:after="120"/>
        <w:rPr>
          <w:b/>
          <w:caps/>
          <w:sz w:val="22"/>
        </w:rPr>
      </w:pPr>
      <w:r>
        <w:rPr>
          <w:b/>
          <w:caps/>
          <w:sz w:val="22"/>
        </w:rPr>
        <w:t>CEMS and CO</w:t>
      </w:r>
      <w:r>
        <w:rPr>
          <w:b/>
          <w:caps/>
          <w:sz w:val="22"/>
          <w:vertAlign w:val="subscript"/>
        </w:rPr>
        <w:t>2</w:t>
      </w:r>
      <w:r>
        <w:rPr>
          <w:b/>
          <w:caps/>
          <w:sz w:val="22"/>
        </w:rPr>
        <w:t xml:space="preserve"> Monitor Requirements for Annual Emissions</w:t>
      </w:r>
    </w:p>
    <w:p w:rsidR="00F1455E" w:rsidRDefault="00806704" w:rsidP="0017609E">
      <w:pPr>
        <w:numPr>
          <w:ilvl w:val="0"/>
          <w:numId w:val="2"/>
        </w:numPr>
        <w:suppressAutoHyphens/>
        <w:spacing w:after="120"/>
        <w:rPr>
          <w:sz w:val="22"/>
          <w:szCs w:val="22"/>
        </w:rPr>
      </w:pPr>
      <w:r>
        <w:rPr>
          <w:sz w:val="22"/>
          <w:u w:val="single"/>
        </w:rPr>
        <w:t>NO</w:t>
      </w:r>
      <w:r w:rsidRPr="00806704">
        <w:rPr>
          <w:sz w:val="22"/>
          <w:u w:val="single"/>
          <w:vertAlign w:val="subscript"/>
        </w:rPr>
        <w:t>X</w:t>
      </w:r>
      <w:r>
        <w:rPr>
          <w:sz w:val="22"/>
          <w:u w:val="single"/>
        </w:rPr>
        <w:t xml:space="preserve"> </w:t>
      </w:r>
      <w:r w:rsidR="00F1455E">
        <w:rPr>
          <w:sz w:val="22"/>
          <w:u w:val="single"/>
        </w:rPr>
        <w:t>CEMS and CO</w:t>
      </w:r>
      <w:r w:rsidR="00F1455E">
        <w:rPr>
          <w:sz w:val="22"/>
          <w:u w:val="single"/>
          <w:vertAlign w:val="subscript"/>
        </w:rPr>
        <w:t>2</w:t>
      </w:r>
      <w:r w:rsidR="00F1455E">
        <w:rPr>
          <w:sz w:val="22"/>
          <w:u w:val="single"/>
        </w:rPr>
        <w:t xml:space="preserve"> </w:t>
      </w:r>
      <w:r w:rsidR="00F1455E" w:rsidRPr="0017609E">
        <w:rPr>
          <w:sz w:val="22"/>
          <w:szCs w:val="22"/>
          <w:u w:val="single"/>
        </w:rPr>
        <w:t>Monitor</w:t>
      </w:r>
      <w:r w:rsidR="00F1455E">
        <w:rPr>
          <w:sz w:val="22"/>
          <w:u w:val="single"/>
        </w:rPr>
        <w:t xml:space="preserve"> Annual Emissions Requirement</w:t>
      </w:r>
      <w:r w:rsidR="00F1455E">
        <w:rPr>
          <w:sz w:val="22"/>
        </w:rPr>
        <w:t>:  The owner or operator shall use data from the NO</w:t>
      </w:r>
      <w:r w:rsidR="00F1455E">
        <w:rPr>
          <w:sz w:val="22"/>
          <w:vertAlign w:val="subscript"/>
        </w:rPr>
        <w:t>X</w:t>
      </w:r>
      <w:r w:rsidR="00F1455E">
        <w:rPr>
          <w:sz w:val="22"/>
        </w:rPr>
        <w:t xml:space="preserve"> CEMS and CO</w:t>
      </w:r>
      <w:r w:rsidR="00F1455E">
        <w:rPr>
          <w:sz w:val="22"/>
          <w:vertAlign w:val="subscript"/>
        </w:rPr>
        <w:t>2</w:t>
      </w:r>
      <w:r w:rsidR="00F1455E">
        <w:rPr>
          <w:sz w:val="22"/>
        </w:rPr>
        <w:t xml:space="preserve"> monitoring system when calculating annual emissions for purposes of computing actual emissions, baseline actual emissions, and net emissions increase, as defined at Rule 62-210.200, F.A.C., and for purposes of computing emissions pursuant to </w:t>
      </w:r>
      <w:r w:rsidR="00F1455E">
        <w:rPr>
          <w:sz w:val="22"/>
          <w:szCs w:val="22"/>
        </w:rPr>
        <w:t>the reporting requirements of Rule 62</w:t>
      </w:r>
      <w:r w:rsidR="00F1455E">
        <w:rPr>
          <w:sz w:val="22"/>
          <w:szCs w:val="22"/>
        </w:rPr>
        <w:noBreakHyphen/>
        <w:t xml:space="preserve">210.370(3), F.A.C.  In computing the emissions of a pollutant, the owner or operator shall </w:t>
      </w:r>
      <w:r w:rsidR="00D10559">
        <w:rPr>
          <w:sz w:val="22"/>
          <w:szCs w:val="22"/>
        </w:rPr>
        <w:t>include</w:t>
      </w:r>
      <w:r w:rsidR="00F1455E">
        <w:rPr>
          <w:sz w:val="22"/>
          <w:szCs w:val="22"/>
        </w:rPr>
        <w:t xml:space="preserve"> emissions during periods of startup and shutdown of the emi</w:t>
      </w:r>
      <w:r w:rsidR="00A909A2">
        <w:rPr>
          <w:sz w:val="22"/>
          <w:szCs w:val="22"/>
        </w:rPr>
        <w:t>ssions unit.  [Rules 62-210.200</w:t>
      </w:r>
      <w:r w:rsidR="00F1455E">
        <w:rPr>
          <w:sz w:val="22"/>
          <w:szCs w:val="22"/>
        </w:rPr>
        <w:t xml:space="preserve"> and 62-210.370(3), F.A.C.]</w:t>
      </w:r>
    </w:p>
    <w:p w:rsidR="00F1455E" w:rsidRDefault="00F1455E" w:rsidP="00F1455E">
      <w:pPr>
        <w:widowControl w:val="0"/>
        <w:spacing w:after="120"/>
        <w:rPr>
          <w:b/>
          <w:caps/>
          <w:sz w:val="22"/>
        </w:rPr>
      </w:pPr>
      <w:bookmarkStart w:id="38" w:name="CEMSDataRequirements"/>
      <w:bookmarkEnd w:id="38"/>
      <w:r>
        <w:rPr>
          <w:b/>
          <w:caps/>
          <w:sz w:val="22"/>
        </w:rPr>
        <w:t>Reporting and RecordKeeping Requirements</w:t>
      </w:r>
    </w:p>
    <w:p w:rsidR="00F1455E" w:rsidRDefault="00F1455E" w:rsidP="0017609E">
      <w:pPr>
        <w:numPr>
          <w:ilvl w:val="0"/>
          <w:numId w:val="2"/>
        </w:numPr>
        <w:suppressAutoHyphens/>
        <w:spacing w:after="120"/>
        <w:rPr>
          <w:sz w:val="22"/>
        </w:rPr>
      </w:pPr>
      <w:r w:rsidRPr="0017609E">
        <w:rPr>
          <w:sz w:val="22"/>
          <w:szCs w:val="22"/>
          <w:u w:val="single"/>
        </w:rPr>
        <w:t>Monitoring</w:t>
      </w:r>
      <w:r>
        <w:rPr>
          <w:snapToGrid w:val="0"/>
          <w:sz w:val="22"/>
          <w:u w:val="single"/>
        </w:rPr>
        <w:t xml:space="preserve"> of Operations</w:t>
      </w:r>
      <w:r>
        <w:rPr>
          <w:snapToGrid w:val="0"/>
          <w:sz w:val="22"/>
        </w:rPr>
        <w:t>:  The permittee shall monitor and record the operating rate of the</w:t>
      </w:r>
      <w:r w:rsidR="00D837FB">
        <w:rPr>
          <w:snapToGrid w:val="0"/>
          <w:sz w:val="22"/>
        </w:rPr>
        <w:t xml:space="preserve"> CTG</w:t>
      </w:r>
      <w:r>
        <w:rPr>
          <w:snapToGrid w:val="0"/>
          <w:sz w:val="22"/>
        </w:rPr>
        <w:t xml:space="preserve"> </w:t>
      </w:r>
      <w:proofErr w:type="gramStart"/>
      <w:r>
        <w:rPr>
          <w:snapToGrid w:val="0"/>
          <w:sz w:val="22"/>
        </w:rPr>
        <w:t>on a daily basis</w:t>
      </w:r>
      <w:proofErr w:type="gramEnd"/>
      <w:r>
        <w:rPr>
          <w:snapToGrid w:val="0"/>
          <w:sz w:val="22"/>
        </w:rPr>
        <w:t xml:space="preserve">, considering the number of hours of operation during each day (including the </w:t>
      </w:r>
      <w:r>
        <w:rPr>
          <w:sz w:val="22"/>
        </w:rPr>
        <w:t>times of startup, shutdown, malfunction,</w:t>
      </w:r>
      <w:r w:rsidR="00B77C55">
        <w:rPr>
          <w:sz w:val="22"/>
        </w:rPr>
        <w:t xml:space="preserve"> SCR tuning</w:t>
      </w:r>
      <w:r>
        <w:rPr>
          <w:sz w:val="22"/>
        </w:rPr>
        <w:t xml:space="preserve"> </w:t>
      </w:r>
      <w:r w:rsidR="00D93977">
        <w:rPr>
          <w:sz w:val="22"/>
        </w:rPr>
        <w:t xml:space="preserve">and </w:t>
      </w:r>
      <w:r>
        <w:rPr>
          <w:sz w:val="22"/>
        </w:rPr>
        <w:t xml:space="preserve">DLN tuning or its equivalent).  Such monitoring shall be made by monitoring daily rates of </w:t>
      </w:r>
      <w:r w:rsidR="00F62823">
        <w:rPr>
          <w:sz w:val="22"/>
        </w:rPr>
        <w:t xml:space="preserve">fuel </w:t>
      </w:r>
      <w:r>
        <w:rPr>
          <w:sz w:val="22"/>
        </w:rPr>
        <w:t>consumption and heat content</w:t>
      </w:r>
      <w:r w:rsidR="00F62823">
        <w:rPr>
          <w:sz w:val="22"/>
        </w:rPr>
        <w:t xml:space="preserve"> of the fuel</w:t>
      </w:r>
      <w:r>
        <w:rPr>
          <w:sz w:val="22"/>
        </w:rPr>
        <w:t xml:space="preserve"> in accordance with the provisions of 40 CFR 75 Appendix D.  [Rules 62-4.070(3) and 62-21</w:t>
      </w:r>
      <w:r w:rsidR="00A469D3">
        <w:rPr>
          <w:sz w:val="22"/>
        </w:rPr>
        <w:t>2</w:t>
      </w:r>
      <w:r>
        <w:rPr>
          <w:sz w:val="22"/>
        </w:rPr>
        <w:t>.</w:t>
      </w:r>
      <w:r w:rsidR="00A469D3">
        <w:rPr>
          <w:sz w:val="22"/>
        </w:rPr>
        <w:t>4</w:t>
      </w:r>
      <w:r>
        <w:rPr>
          <w:sz w:val="22"/>
        </w:rPr>
        <w:t>00(BACT), F.A.C.]</w:t>
      </w:r>
    </w:p>
    <w:p w:rsidR="00F1455E" w:rsidRDefault="00F1455E" w:rsidP="00A469D3">
      <w:pPr>
        <w:numPr>
          <w:ilvl w:val="0"/>
          <w:numId w:val="2"/>
        </w:numPr>
        <w:suppressAutoHyphens/>
        <w:spacing w:after="120"/>
        <w:rPr>
          <w:sz w:val="22"/>
          <w:szCs w:val="22"/>
        </w:rPr>
      </w:pPr>
      <w:r>
        <w:rPr>
          <w:sz w:val="22"/>
          <w:u w:val="single"/>
        </w:rPr>
        <w:t xml:space="preserve">Monthly </w:t>
      </w:r>
      <w:r w:rsidRPr="0017609E">
        <w:rPr>
          <w:sz w:val="22"/>
          <w:szCs w:val="22"/>
          <w:u w:val="single"/>
        </w:rPr>
        <w:t>Operations</w:t>
      </w:r>
      <w:r>
        <w:rPr>
          <w:sz w:val="22"/>
          <w:u w:val="single"/>
        </w:rPr>
        <w:t xml:space="preserve"> Summary</w:t>
      </w:r>
      <w:r>
        <w:rPr>
          <w:sz w:val="22"/>
        </w:rPr>
        <w:t xml:space="preserve">:  By the 15th calendar day of each month, the permittee shall record the following </w:t>
      </w:r>
      <w:r>
        <w:rPr>
          <w:sz w:val="22"/>
          <w:szCs w:val="22"/>
        </w:rPr>
        <w:t>in a written or electronic log for the combustion turbines for the previous month of operation: fuel consumption, hours of o</w:t>
      </w:r>
      <w:r w:rsidR="00C363D2">
        <w:rPr>
          <w:sz w:val="22"/>
          <w:szCs w:val="22"/>
        </w:rPr>
        <w:t>peration</w:t>
      </w:r>
      <w:r>
        <w:rPr>
          <w:sz w:val="22"/>
          <w:szCs w:val="22"/>
        </w:rPr>
        <w:t>, and t</w:t>
      </w:r>
      <w:r w:rsidR="00C363D2">
        <w:rPr>
          <w:sz w:val="22"/>
          <w:szCs w:val="22"/>
        </w:rPr>
        <w:t>he updated calendar year totals</w:t>
      </w:r>
      <w:r>
        <w:rPr>
          <w:sz w:val="22"/>
          <w:szCs w:val="22"/>
        </w:rPr>
        <w:t>.  Information recorded and stored as an electronic file shall be available for inspection and printing within at least three days of a request by the Department.  The fuel consumption shall be monitored in accordance with the provisions of 40 CFR 75 Appendix D.  [Rules 62-4.070(3)</w:t>
      </w:r>
      <w:r w:rsidR="00A469D3">
        <w:rPr>
          <w:sz w:val="22"/>
          <w:szCs w:val="22"/>
        </w:rPr>
        <w:t xml:space="preserve">, </w:t>
      </w:r>
      <w:r w:rsidR="00A469D3" w:rsidRPr="00A469D3">
        <w:rPr>
          <w:sz w:val="22"/>
          <w:szCs w:val="22"/>
        </w:rPr>
        <w:t>62-210.200 (PTE) and 62-212.400(BACT), F.A.C</w:t>
      </w:r>
      <w:r>
        <w:rPr>
          <w:sz w:val="22"/>
          <w:szCs w:val="22"/>
        </w:rPr>
        <w:t>.]</w:t>
      </w:r>
    </w:p>
    <w:p w:rsidR="00F1455E" w:rsidRPr="007428C2" w:rsidRDefault="00F1455E" w:rsidP="00C363D2">
      <w:pPr>
        <w:numPr>
          <w:ilvl w:val="0"/>
          <w:numId w:val="2"/>
        </w:numPr>
        <w:suppressAutoHyphens/>
        <w:spacing w:after="120"/>
        <w:rPr>
          <w:sz w:val="22"/>
        </w:rPr>
      </w:pPr>
      <w:r>
        <w:rPr>
          <w:sz w:val="22"/>
          <w:szCs w:val="22"/>
          <w:u w:val="single"/>
        </w:rPr>
        <w:t>Fuel Sulfur Records</w:t>
      </w:r>
      <w:r>
        <w:rPr>
          <w:sz w:val="22"/>
          <w:szCs w:val="22"/>
        </w:rPr>
        <w:t>:</w:t>
      </w:r>
      <w:bookmarkStart w:id="39" w:name="FuelSulfurRecords"/>
      <w:bookmarkEnd w:id="39"/>
      <w:r>
        <w:rPr>
          <w:sz w:val="22"/>
          <w:szCs w:val="22"/>
        </w:rPr>
        <w:t xml:space="preserve">  </w:t>
      </w:r>
      <w:r w:rsidRPr="007428C2">
        <w:rPr>
          <w:sz w:val="22"/>
        </w:rPr>
        <w:t xml:space="preserve">Compliance with the fuel sulfur limit for natural gas shall be demonstrated by keeping reports obtained from the vendor indicating the average sulfur content of the natural gas being supplied from the pipeline for each month of operation.  Methods for determining the sulfur content of the natural gas shall be ASTM methods D4084-82, D4468-85, </w:t>
      </w:r>
      <w:r w:rsidR="00C363D2" w:rsidRPr="00C363D2">
        <w:rPr>
          <w:sz w:val="22"/>
        </w:rPr>
        <w:t>D5504-94</w:t>
      </w:r>
      <w:r w:rsidR="00C363D2">
        <w:rPr>
          <w:sz w:val="22"/>
        </w:rPr>
        <w:t xml:space="preserve">, </w:t>
      </w:r>
      <w:r w:rsidRPr="007428C2">
        <w:rPr>
          <w:sz w:val="22"/>
        </w:rPr>
        <w:t>D5504-01, D6228-98 and D6667-01, D3246-81 or more recent versions.</w:t>
      </w:r>
      <w:r w:rsidR="007428C2">
        <w:rPr>
          <w:sz w:val="22"/>
        </w:rPr>
        <w:t xml:space="preserve">  </w:t>
      </w:r>
      <w:r w:rsidRPr="007428C2">
        <w:rPr>
          <w:sz w:val="22"/>
        </w:rPr>
        <w:t xml:space="preserve">The above methods shall be used to determine the fuel sulfur content in conjunction with the provisions of 40 CFR 75 Appendix D.  [Rules 62-4.070(3), 62-4.160(15), and </w:t>
      </w:r>
      <w:r w:rsidRPr="007428C2">
        <w:rPr>
          <w:sz w:val="22"/>
          <w:szCs w:val="22"/>
        </w:rPr>
        <w:t>62-21</w:t>
      </w:r>
      <w:r w:rsidR="00CE31BD">
        <w:rPr>
          <w:sz w:val="22"/>
          <w:szCs w:val="22"/>
        </w:rPr>
        <w:t>2.4</w:t>
      </w:r>
      <w:r w:rsidRPr="007428C2">
        <w:rPr>
          <w:sz w:val="22"/>
          <w:szCs w:val="22"/>
        </w:rPr>
        <w:t>00(BACT)</w:t>
      </w:r>
      <w:r w:rsidRPr="007428C2">
        <w:rPr>
          <w:sz w:val="22"/>
        </w:rPr>
        <w:t xml:space="preserve">, F.A.C.] </w:t>
      </w:r>
    </w:p>
    <w:p w:rsidR="00F1455E" w:rsidRDefault="00F1455E" w:rsidP="0017609E">
      <w:pPr>
        <w:numPr>
          <w:ilvl w:val="0"/>
          <w:numId w:val="2"/>
        </w:numPr>
        <w:suppressAutoHyphens/>
        <w:spacing w:after="120"/>
        <w:rPr>
          <w:sz w:val="22"/>
          <w:szCs w:val="22"/>
        </w:rPr>
      </w:pPr>
      <w:r>
        <w:rPr>
          <w:sz w:val="22"/>
          <w:szCs w:val="22"/>
          <w:u w:val="single"/>
        </w:rPr>
        <w:t>Emissions Performance Test Reports</w:t>
      </w:r>
      <w:r>
        <w:rPr>
          <w:sz w:val="22"/>
          <w:szCs w:val="22"/>
        </w:rPr>
        <w:t>:  A report indicating the results of any required emissions performance test shall be submitted to the Compliance Authority no later than 45 days after completion of the last test run.  The test report shall provide sufficient detail on the tested emission unit and the procedures used to allow the Department to determine if the test was properly conducted and if the test results were properly computed.  At a minimum, the test report shall provide the applicable information listed in Rule 62-297.310(</w:t>
      </w:r>
      <w:proofErr w:type="gramStart"/>
      <w:r w:rsidR="00C363D2">
        <w:rPr>
          <w:sz w:val="22"/>
          <w:szCs w:val="22"/>
        </w:rPr>
        <w:t>10</w:t>
      </w:r>
      <w:r>
        <w:rPr>
          <w:sz w:val="22"/>
          <w:szCs w:val="22"/>
        </w:rPr>
        <w:t>)(</w:t>
      </w:r>
      <w:proofErr w:type="gramEnd"/>
      <w:r>
        <w:rPr>
          <w:sz w:val="22"/>
          <w:szCs w:val="22"/>
        </w:rPr>
        <w:t xml:space="preserve">c), F.A.C. and in Appendix D of this permit.  Additionally, each report for tests of non-base-load CO shall clearly state the new fuel-specific minimum operating load that is being established </w:t>
      </w:r>
      <w:proofErr w:type="gramStart"/>
      <w:r>
        <w:rPr>
          <w:sz w:val="22"/>
          <w:szCs w:val="22"/>
        </w:rPr>
        <w:t>as a result of</w:t>
      </w:r>
      <w:proofErr w:type="gramEnd"/>
      <w:r>
        <w:rPr>
          <w:sz w:val="22"/>
          <w:szCs w:val="22"/>
        </w:rPr>
        <w:t xml:space="preserve"> the test.  [Rule 62-297.310(8), F.A.C.].</w:t>
      </w:r>
    </w:p>
    <w:p w:rsidR="00F1455E" w:rsidRDefault="00F1455E" w:rsidP="00100121">
      <w:pPr>
        <w:numPr>
          <w:ilvl w:val="0"/>
          <w:numId w:val="2"/>
        </w:numPr>
        <w:suppressAutoHyphens/>
        <w:spacing w:after="120"/>
        <w:rPr>
          <w:sz w:val="22"/>
          <w:szCs w:val="22"/>
        </w:rPr>
      </w:pPr>
      <w:r>
        <w:rPr>
          <w:sz w:val="22"/>
          <w:szCs w:val="22"/>
          <w:u w:val="single"/>
        </w:rPr>
        <w:t>Excess Emissions Reporting</w:t>
      </w:r>
      <w:r>
        <w:rPr>
          <w:sz w:val="22"/>
          <w:szCs w:val="22"/>
        </w:rPr>
        <w:t>:</w:t>
      </w:r>
    </w:p>
    <w:p w:rsidR="00F1455E" w:rsidRDefault="00F1455E" w:rsidP="0017609E">
      <w:pPr>
        <w:numPr>
          <w:ilvl w:val="0"/>
          <w:numId w:val="23"/>
        </w:numPr>
        <w:spacing w:after="60"/>
        <w:rPr>
          <w:sz w:val="22"/>
          <w:szCs w:val="22"/>
        </w:rPr>
      </w:pPr>
      <w:r>
        <w:rPr>
          <w:i/>
          <w:sz w:val="22"/>
          <w:szCs w:val="22"/>
        </w:rPr>
        <w:t xml:space="preserve">Malfunction Notification:  </w:t>
      </w:r>
      <w:r>
        <w:rPr>
          <w:sz w:val="22"/>
          <w:szCs w:val="22"/>
        </w:rPr>
        <w:t xml:space="preserve">If emissions </w:t>
      </w:r>
      <w:proofErr w:type="gramStart"/>
      <w:r>
        <w:rPr>
          <w:sz w:val="22"/>
          <w:szCs w:val="22"/>
        </w:rPr>
        <w:t>in excess of</w:t>
      </w:r>
      <w:proofErr w:type="gramEnd"/>
      <w:r>
        <w:rPr>
          <w:sz w:val="22"/>
          <w:szCs w:val="22"/>
        </w:rPr>
        <w:t xml:space="preserve"> a standard (subject to the specified averaging period) occur due to malfunction, the permittee shall notify the Compliance Authority within one working day of the following:  the nature, extent, and duration of the excess emissions; the cause of the excess emissions; and the actions taken to correct the problem.  In addition, the Department may request a written summary report of the incident.</w:t>
      </w:r>
    </w:p>
    <w:p w:rsidR="00F1455E" w:rsidRDefault="00F1455E" w:rsidP="0017609E">
      <w:pPr>
        <w:numPr>
          <w:ilvl w:val="0"/>
          <w:numId w:val="23"/>
        </w:numPr>
        <w:spacing w:after="60"/>
        <w:rPr>
          <w:sz w:val="22"/>
          <w:szCs w:val="22"/>
        </w:rPr>
      </w:pPr>
      <w:r>
        <w:rPr>
          <w:i/>
          <w:sz w:val="22"/>
          <w:szCs w:val="22"/>
        </w:rPr>
        <w:lastRenderedPageBreak/>
        <w:t>SIP Quarterly Report</w:t>
      </w:r>
      <w:r>
        <w:rPr>
          <w:sz w:val="22"/>
          <w:szCs w:val="22"/>
        </w:rPr>
        <w:t>:  Within 30 days following the end of each calendar-quarter, the permittee shall submit a report to the Compliance Authority summarizing periods of NO</w:t>
      </w:r>
      <w:r>
        <w:rPr>
          <w:sz w:val="22"/>
          <w:szCs w:val="22"/>
          <w:vertAlign w:val="subscript"/>
        </w:rPr>
        <w:t>X</w:t>
      </w:r>
      <w:r>
        <w:rPr>
          <w:sz w:val="22"/>
          <w:szCs w:val="22"/>
        </w:rPr>
        <w:t xml:space="preserve"> and GHG emissions </w:t>
      </w:r>
      <w:proofErr w:type="gramStart"/>
      <w:r>
        <w:rPr>
          <w:sz w:val="22"/>
          <w:szCs w:val="22"/>
        </w:rPr>
        <w:t>in excess of</w:t>
      </w:r>
      <w:proofErr w:type="gramEnd"/>
      <w:r>
        <w:rPr>
          <w:sz w:val="22"/>
          <w:szCs w:val="22"/>
        </w:rPr>
        <w:t xml:space="preserve"> the BACT permit standards following the NSPS format in 40 CFR 60.7(c), Subpart A.  The 12-month rolling average values of GHG emissions subject to the Primary GHG BACT standard, for the three months concluding in the reporting period, shall be included in the report.  In addition, the report shall summarize the CO</w:t>
      </w:r>
      <w:r>
        <w:rPr>
          <w:sz w:val="22"/>
          <w:szCs w:val="22"/>
          <w:vertAlign w:val="subscript"/>
        </w:rPr>
        <w:t>2</w:t>
      </w:r>
      <w:r>
        <w:rPr>
          <w:sz w:val="22"/>
          <w:szCs w:val="22"/>
        </w:rPr>
        <w:t xml:space="preserve"> and NO</w:t>
      </w:r>
      <w:r>
        <w:rPr>
          <w:sz w:val="22"/>
          <w:szCs w:val="22"/>
          <w:vertAlign w:val="subscript"/>
        </w:rPr>
        <w:t>X</w:t>
      </w:r>
      <w:r>
        <w:rPr>
          <w:sz w:val="22"/>
          <w:szCs w:val="22"/>
        </w:rPr>
        <w:t xml:space="preserve"> CEMS system monitor availability for the previous quarter.</w:t>
      </w:r>
    </w:p>
    <w:p w:rsidR="00F1455E" w:rsidRDefault="00F1455E" w:rsidP="00F1455E">
      <w:pPr>
        <w:widowControl w:val="0"/>
        <w:spacing w:after="120"/>
        <w:ind w:left="360"/>
        <w:rPr>
          <w:sz w:val="22"/>
          <w:szCs w:val="22"/>
        </w:rPr>
      </w:pPr>
      <w:r>
        <w:rPr>
          <w:sz w:val="22"/>
          <w:szCs w:val="22"/>
        </w:rPr>
        <w:t xml:space="preserve">[Rules 62-4.130, 62-204.800, 62-210.700(6) </w:t>
      </w:r>
      <w:r w:rsidR="002F5DCD">
        <w:rPr>
          <w:sz w:val="22"/>
          <w:szCs w:val="22"/>
        </w:rPr>
        <w:t>&amp;</w:t>
      </w:r>
      <w:r>
        <w:rPr>
          <w:sz w:val="22"/>
          <w:szCs w:val="22"/>
        </w:rPr>
        <w:t xml:space="preserve"> 62-212.400(BACT), F.A.C., and 40 CFR 60.7 </w:t>
      </w:r>
      <w:r w:rsidR="002F5DCD">
        <w:rPr>
          <w:sz w:val="22"/>
          <w:szCs w:val="22"/>
        </w:rPr>
        <w:t>&amp;</w:t>
      </w:r>
      <w:r>
        <w:rPr>
          <w:sz w:val="22"/>
          <w:szCs w:val="22"/>
        </w:rPr>
        <w:t xml:space="preserve"> 60.4375]</w:t>
      </w:r>
    </w:p>
    <w:p w:rsidR="00391BBD" w:rsidRPr="00391BBD" w:rsidRDefault="00391BBD" w:rsidP="006B420D">
      <w:pPr>
        <w:widowControl w:val="0"/>
        <w:spacing w:after="120"/>
        <w:rPr>
          <w:b/>
          <w:caps/>
          <w:sz w:val="22"/>
        </w:rPr>
      </w:pPr>
      <w:r w:rsidRPr="00391BBD">
        <w:rPr>
          <w:b/>
          <w:caps/>
          <w:sz w:val="22"/>
        </w:rPr>
        <w:t>Other Requirements</w:t>
      </w:r>
    </w:p>
    <w:p w:rsidR="00932702" w:rsidRDefault="00932702" w:rsidP="002C528E">
      <w:pPr>
        <w:numPr>
          <w:ilvl w:val="0"/>
          <w:numId w:val="2"/>
        </w:numPr>
        <w:suppressAutoHyphens/>
        <w:spacing w:after="120"/>
        <w:rPr>
          <w:sz w:val="22"/>
          <w:szCs w:val="22"/>
        </w:rPr>
      </w:pPr>
      <w:r>
        <w:rPr>
          <w:sz w:val="22"/>
          <w:szCs w:val="22"/>
          <w:u w:val="single"/>
        </w:rPr>
        <w:t>NSPS Requirements</w:t>
      </w:r>
      <w:r>
        <w:rPr>
          <w:sz w:val="22"/>
          <w:szCs w:val="22"/>
        </w:rPr>
        <w:t>:  Th</w:t>
      </w:r>
      <w:r w:rsidR="00870DA9">
        <w:rPr>
          <w:sz w:val="22"/>
          <w:szCs w:val="22"/>
        </w:rPr>
        <w:t xml:space="preserve">is </w:t>
      </w:r>
      <w:r>
        <w:rPr>
          <w:sz w:val="22"/>
          <w:szCs w:val="22"/>
        </w:rPr>
        <w:t xml:space="preserve">unit shall comply with the applicable NSPS in 40 CFR 60, including: </w:t>
      </w:r>
      <w:r>
        <w:rPr>
          <w:sz w:val="22"/>
          <w:szCs w:val="22"/>
        </w:rPr>
        <w:br/>
        <w:t>Subpart A (General Provisions), Subpart KKKK (Standards of Performance for Stationary Gas Turbines), and Subpart TTTT (Standards of Performance for Greenhouse Gas Emissions for Electric Generating Units).  See Appendices Subpart A, KKKK, and TTTT of this permit.  The BACT emissions standards for NO</w:t>
      </w:r>
      <w:r>
        <w:rPr>
          <w:sz w:val="22"/>
          <w:szCs w:val="22"/>
          <w:vertAlign w:val="subscript"/>
        </w:rPr>
        <w:t>X</w:t>
      </w:r>
      <w:r>
        <w:rPr>
          <w:sz w:val="22"/>
          <w:szCs w:val="22"/>
        </w:rPr>
        <w:t xml:space="preserve"> and the fuel sulfur specifications are as stringent as, or more stringent than, the NO</w:t>
      </w:r>
      <w:r>
        <w:rPr>
          <w:sz w:val="22"/>
          <w:szCs w:val="22"/>
          <w:vertAlign w:val="subscript"/>
        </w:rPr>
        <w:t>X</w:t>
      </w:r>
      <w:r>
        <w:rPr>
          <w:sz w:val="22"/>
          <w:szCs w:val="22"/>
        </w:rPr>
        <w:t xml:space="preserve"> and sulfur dioxide (SO</w:t>
      </w:r>
      <w:r>
        <w:rPr>
          <w:sz w:val="22"/>
          <w:szCs w:val="22"/>
          <w:vertAlign w:val="subscript"/>
        </w:rPr>
        <w:t>2</w:t>
      </w:r>
      <w:r>
        <w:rPr>
          <w:sz w:val="22"/>
          <w:szCs w:val="22"/>
        </w:rPr>
        <w:t>) limits imposed by the applicable NSPS Subpart KKKK provisions.  The GHG BACT emissions standards are as stringent as, or more stringent than, the limits imposed by the applicable NSPS Subpart TTTT provisions.  Some separate reporting and monitoring may be required by the individual subparts.  [Rule 62-204.800(8)(b), F.A.C.; and NSPS 40 CFR 60, Subparts A, KKKK, and TTTT]</w:t>
      </w:r>
    </w:p>
    <w:p w:rsidR="00020A8F" w:rsidRDefault="00932702" w:rsidP="00932702">
      <w:pPr>
        <w:suppressAutoHyphens/>
        <w:spacing w:after="120"/>
        <w:ind w:left="360"/>
        <w:rPr>
          <w:sz w:val="22"/>
        </w:rPr>
      </w:pPr>
      <w:r>
        <w:rPr>
          <w:i/>
          <w:sz w:val="22"/>
          <w:szCs w:val="22"/>
        </w:rPr>
        <w:t>{Permitting Note:  This unit is not subject to the NESHAP in 40 CFR 63, Subpart YYYY, for stationary combustion turbines.  Subpart YYYY applies only to turbines at major sources of hazardous air pollutants (HAP).}</w:t>
      </w:r>
      <w:r w:rsidR="00391BBD" w:rsidRPr="00391BBD">
        <w:rPr>
          <w:sz w:val="22"/>
          <w:szCs w:val="22"/>
        </w:rPr>
        <w:t xml:space="preserve"> </w:t>
      </w:r>
    </w:p>
    <w:p w:rsidR="00F0490C" w:rsidRDefault="00F0490C" w:rsidP="00AB6843">
      <w:pPr>
        <w:spacing w:after="120"/>
        <w:jc w:val="both"/>
        <w:rPr>
          <w:sz w:val="22"/>
        </w:rPr>
        <w:sectPr w:rsidR="00F0490C" w:rsidSect="009C1FD0">
          <w:headerReference w:type="even" r:id="rId32"/>
          <w:headerReference w:type="default" r:id="rId33"/>
          <w:headerReference w:type="first" r:id="rId34"/>
          <w:pgSz w:w="12240" w:h="15840" w:code="1"/>
          <w:pgMar w:top="720" w:right="1080" w:bottom="720" w:left="1080" w:header="720" w:footer="720" w:gutter="0"/>
          <w:paperSrc w:first="15" w:other="15"/>
          <w:cols w:space="720"/>
        </w:sectPr>
      </w:pPr>
    </w:p>
    <w:p w:rsidR="00AE65B7" w:rsidRPr="00AE65B7" w:rsidRDefault="00AE65B7" w:rsidP="00AE65B7">
      <w:pPr>
        <w:numPr>
          <w:ilvl w:val="12"/>
          <w:numId w:val="0"/>
        </w:numPr>
        <w:spacing w:after="120"/>
        <w:rPr>
          <w:sz w:val="22"/>
          <w:szCs w:val="22"/>
        </w:rPr>
      </w:pPr>
      <w:bookmarkStart w:id="40" w:name="lastpage"/>
      <w:bookmarkEnd w:id="40"/>
      <w:r w:rsidRPr="00AE65B7">
        <w:rPr>
          <w:sz w:val="22"/>
          <w:szCs w:val="22"/>
        </w:rPr>
        <w:lastRenderedPageBreak/>
        <w:t>This section of the permit addresses the following emissions unit.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AE65B7" w:rsidRPr="00AE65B7" w:rsidTr="003F2A9C">
        <w:tc>
          <w:tcPr>
            <w:tcW w:w="794" w:type="dxa"/>
            <w:tcBorders>
              <w:top w:val="single" w:sz="12" w:space="0" w:color="auto"/>
              <w:bottom w:val="single" w:sz="12" w:space="0" w:color="auto"/>
              <w:right w:val="single" w:sz="12" w:space="0" w:color="auto"/>
            </w:tcBorders>
            <w:shd w:val="clear" w:color="auto" w:fill="B8CCE4"/>
          </w:tcPr>
          <w:p w:rsidR="00AE65B7" w:rsidRPr="00AE65B7" w:rsidRDefault="00133894" w:rsidP="00AE65B7">
            <w:pPr>
              <w:jc w:val="center"/>
              <w:rPr>
                <w:b/>
              </w:rPr>
            </w:pPr>
            <w:r>
              <w:rPr>
                <w:b/>
              </w:rPr>
              <w:t>E</w:t>
            </w:r>
            <w:r w:rsidR="00073630">
              <w:rPr>
                <w:b/>
              </w:rPr>
              <w:t>U</w:t>
            </w:r>
            <w:r w:rsidR="00AE65B7" w:rsidRPr="00AE65B7">
              <w:rPr>
                <w:b/>
              </w:rPr>
              <w:t xml:space="preserve"> No.</w:t>
            </w:r>
          </w:p>
        </w:tc>
        <w:tc>
          <w:tcPr>
            <w:tcW w:w="9360" w:type="dxa"/>
            <w:tcBorders>
              <w:top w:val="single" w:sz="12" w:space="0" w:color="auto"/>
              <w:left w:val="single" w:sz="12" w:space="0" w:color="auto"/>
              <w:bottom w:val="single" w:sz="12" w:space="0" w:color="auto"/>
            </w:tcBorders>
            <w:shd w:val="clear" w:color="auto" w:fill="B8CCE4"/>
          </w:tcPr>
          <w:p w:rsidR="00AE65B7" w:rsidRPr="00AE65B7" w:rsidRDefault="00AE65B7" w:rsidP="00AE65B7">
            <w:r w:rsidRPr="00AE65B7">
              <w:rPr>
                <w:b/>
              </w:rPr>
              <w:t>Emission Unit Description</w:t>
            </w:r>
          </w:p>
        </w:tc>
      </w:tr>
      <w:tr w:rsidR="00AE65B7" w:rsidRPr="00AE65B7" w:rsidTr="003F2A9C">
        <w:tc>
          <w:tcPr>
            <w:tcW w:w="794" w:type="dxa"/>
            <w:tcBorders>
              <w:top w:val="single" w:sz="8" w:space="0" w:color="auto"/>
              <w:bottom w:val="single" w:sz="12" w:space="0" w:color="auto"/>
              <w:right w:val="single" w:sz="12" w:space="0" w:color="auto"/>
            </w:tcBorders>
            <w:vAlign w:val="center"/>
          </w:tcPr>
          <w:p w:rsidR="00AE65B7" w:rsidRPr="00AE65B7" w:rsidRDefault="001D1F12" w:rsidP="00AE65B7">
            <w:pPr>
              <w:jc w:val="center"/>
              <w:rPr>
                <w:b/>
              </w:rPr>
            </w:pPr>
            <w:r>
              <w:rPr>
                <w:b/>
              </w:rPr>
              <w:t>002</w:t>
            </w:r>
          </w:p>
        </w:tc>
        <w:tc>
          <w:tcPr>
            <w:tcW w:w="9360" w:type="dxa"/>
            <w:tcBorders>
              <w:top w:val="single" w:sz="8" w:space="0" w:color="auto"/>
              <w:left w:val="single" w:sz="12" w:space="0" w:color="auto"/>
              <w:bottom w:val="single" w:sz="12" w:space="0" w:color="auto"/>
            </w:tcBorders>
          </w:tcPr>
          <w:p w:rsidR="00AE65B7" w:rsidRPr="00AE65B7" w:rsidRDefault="00AE65B7" w:rsidP="00AE65B7">
            <w:r w:rsidRPr="00AE65B7">
              <w:t>Auxiliary Boiler</w:t>
            </w:r>
          </w:p>
        </w:tc>
      </w:tr>
    </w:tbl>
    <w:p w:rsidR="00AE65B7" w:rsidRPr="00AE65B7" w:rsidRDefault="00AE65B7" w:rsidP="00AE65B7">
      <w:pPr>
        <w:tabs>
          <w:tab w:val="left" w:pos="360"/>
          <w:tab w:val="left" w:pos="1440"/>
          <w:tab w:val="left" w:pos="1800"/>
          <w:tab w:val="left" w:pos="2160"/>
        </w:tabs>
        <w:spacing w:before="120" w:after="120"/>
        <w:rPr>
          <w:sz w:val="22"/>
          <w:szCs w:val="22"/>
        </w:rPr>
      </w:pPr>
      <w:bookmarkStart w:id="41" w:name="_Hlk495054719"/>
      <w:r w:rsidRPr="00AE65B7">
        <w:rPr>
          <w:b/>
          <w:caps/>
          <w:sz w:val="22"/>
          <w:szCs w:val="22"/>
        </w:rPr>
        <w:t>NSPS AND NESHAP Applicability</w:t>
      </w:r>
    </w:p>
    <w:p w:rsidR="00AE65B7" w:rsidRPr="00AE65B7" w:rsidRDefault="00AE65B7" w:rsidP="00C80E92">
      <w:pPr>
        <w:numPr>
          <w:ilvl w:val="0"/>
          <w:numId w:val="29"/>
        </w:numPr>
        <w:tabs>
          <w:tab w:val="left" w:pos="1440"/>
          <w:tab w:val="left" w:pos="1800"/>
          <w:tab w:val="left" w:pos="2160"/>
        </w:tabs>
        <w:spacing w:after="120"/>
        <w:rPr>
          <w:sz w:val="22"/>
          <w:szCs w:val="22"/>
        </w:rPr>
      </w:pPr>
      <w:r w:rsidRPr="00AE65B7">
        <w:rPr>
          <w:sz w:val="22"/>
          <w:szCs w:val="22"/>
          <w:u w:val="single"/>
        </w:rPr>
        <w:t>NSPS, Subpart Dc Applicability:</w:t>
      </w:r>
      <w:r w:rsidRPr="00AE65B7">
        <w:rPr>
          <w:sz w:val="22"/>
          <w:szCs w:val="22"/>
        </w:rPr>
        <w:t xml:space="preserve">  The </w:t>
      </w:r>
      <w:r w:rsidR="00C00FC3">
        <w:rPr>
          <w:sz w:val="22"/>
          <w:szCs w:val="22"/>
        </w:rPr>
        <w:t>60</w:t>
      </w:r>
      <w:r w:rsidRPr="00AE65B7">
        <w:rPr>
          <w:sz w:val="22"/>
          <w:szCs w:val="22"/>
        </w:rPr>
        <w:t xml:space="preserve"> MMB</w:t>
      </w:r>
      <w:r w:rsidR="00C00FC3">
        <w:rPr>
          <w:sz w:val="22"/>
          <w:szCs w:val="22"/>
        </w:rPr>
        <w:t>tu</w:t>
      </w:r>
      <w:r w:rsidRPr="00AE65B7">
        <w:rPr>
          <w:sz w:val="22"/>
          <w:szCs w:val="22"/>
        </w:rPr>
        <w:t>/hour (by higher heating value) auxiliary boiler is subject to all applicable requirements of 40 CFR 60, Subpart Dc which applies to Small Industrial, Commercial, or Institutional Boilers.  Specifically, the emissions unit shall comply with 40 CFR 60.48c Reporting and Recordkeeping Requirements.  [</w:t>
      </w:r>
      <w:r w:rsidR="00C80E92" w:rsidRPr="00C80E92">
        <w:rPr>
          <w:sz w:val="22"/>
          <w:szCs w:val="22"/>
        </w:rPr>
        <w:t>Rule 62-204.800(b)</w:t>
      </w:r>
      <w:r w:rsidR="00C80E92">
        <w:rPr>
          <w:sz w:val="22"/>
          <w:szCs w:val="22"/>
        </w:rPr>
        <w:t xml:space="preserve">, F.A.C.; </w:t>
      </w:r>
      <w:r w:rsidRPr="00AE65B7">
        <w:rPr>
          <w:sz w:val="22"/>
          <w:szCs w:val="22"/>
        </w:rPr>
        <w:t xml:space="preserve">40 CFR 60.48c and Application No. </w:t>
      </w:r>
      <w:r w:rsidR="00B519E0">
        <w:rPr>
          <w:sz w:val="22"/>
          <w:szCs w:val="22"/>
        </w:rPr>
        <w:t>1010524</w:t>
      </w:r>
      <w:r w:rsidR="00C00FC3" w:rsidRPr="00C00FC3">
        <w:rPr>
          <w:sz w:val="22"/>
          <w:szCs w:val="22"/>
        </w:rPr>
        <w:t>-</w:t>
      </w:r>
      <w:r w:rsidR="00B519E0">
        <w:rPr>
          <w:sz w:val="22"/>
          <w:szCs w:val="22"/>
        </w:rPr>
        <w:t>001</w:t>
      </w:r>
      <w:r w:rsidR="00C00FC3" w:rsidRPr="00C00FC3">
        <w:rPr>
          <w:sz w:val="22"/>
          <w:szCs w:val="22"/>
        </w:rPr>
        <w:t>-AC</w:t>
      </w:r>
      <w:r w:rsidRPr="00AE65B7">
        <w:rPr>
          <w:sz w:val="22"/>
          <w:szCs w:val="22"/>
        </w:rPr>
        <w:t>]</w:t>
      </w:r>
    </w:p>
    <w:bookmarkEnd w:id="41"/>
    <w:p w:rsidR="00AE65B7" w:rsidRPr="00AE65B7" w:rsidRDefault="00AE65B7" w:rsidP="00AE65B7">
      <w:pPr>
        <w:tabs>
          <w:tab w:val="left" w:pos="0"/>
        </w:tabs>
        <w:spacing w:after="120"/>
        <w:ind w:left="360" w:hanging="360"/>
        <w:rPr>
          <w:b/>
          <w:caps/>
          <w:sz w:val="22"/>
          <w:szCs w:val="22"/>
        </w:rPr>
      </w:pPr>
      <w:r w:rsidRPr="00AE65B7">
        <w:rPr>
          <w:b/>
          <w:caps/>
          <w:sz w:val="22"/>
          <w:szCs w:val="22"/>
        </w:rPr>
        <w:t>Equipment Specifications</w:t>
      </w:r>
    </w:p>
    <w:p w:rsidR="00AE65B7" w:rsidRPr="00AE65B7" w:rsidRDefault="00AE65B7" w:rsidP="00F62823">
      <w:pPr>
        <w:numPr>
          <w:ilvl w:val="0"/>
          <w:numId w:val="29"/>
        </w:numPr>
        <w:tabs>
          <w:tab w:val="left" w:pos="1440"/>
          <w:tab w:val="left" w:pos="1800"/>
          <w:tab w:val="left" w:pos="2160"/>
        </w:tabs>
        <w:spacing w:after="120"/>
        <w:rPr>
          <w:sz w:val="22"/>
          <w:szCs w:val="22"/>
        </w:rPr>
      </w:pPr>
      <w:bookmarkStart w:id="42" w:name="_Ref434503211"/>
      <w:bookmarkStart w:id="43" w:name="_Ref511650126"/>
      <w:r w:rsidRPr="00AE65B7">
        <w:rPr>
          <w:sz w:val="22"/>
          <w:szCs w:val="22"/>
          <w:u w:val="single"/>
        </w:rPr>
        <w:t>Equipment</w:t>
      </w:r>
      <w:r w:rsidRPr="00AE65B7">
        <w:rPr>
          <w:sz w:val="22"/>
          <w:szCs w:val="22"/>
        </w:rPr>
        <w:t xml:space="preserve">:  The permittee is authorized to construct, operate, and maintain one auxiliary boiler with a maximum design heat input of </w:t>
      </w:r>
      <w:r w:rsidR="00C00FC3">
        <w:rPr>
          <w:sz w:val="22"/>
          <w:szCs w:val="22"/>
        </w:rPr>
        <w:t>60</w:t>
      </w:r>
      <w:r w:rsidRPr="00AE65B7">
        <w:rPr>
          <w:sz w:val="22"/>
          <w:szCs w:val="22"/>
        </w:rPr>
        <w:t xml:space="preserve"> MMBtu/hr.  This boiler may be used to provide steam during startups and shutdowns of the combined cycle unit or its steam turbine</w:t>
      </w:r>
      <w:r w:rsidR="00F62823" w:rsidRPr="00F62823">
        <w:rPr>
          <w:sz w:val="22"/>
          <w:szCs w:val="22"/>
        </w:rPr>
        <w:t>, and when steam is not available from the HRSG.</w:t>
      </w:r>
      <w:r w:rsidRPr="00AE65B7">
        <w:rPr>
          <w:sz w:val="22"/>
          <w:szCs w:val="22"/>
        </w:rPr>
        <w:t xml:space="preserve">  The boiler shall include low-NO</w:t>
      </w:r>
      <w:r w:rsidRPr="00AE65B7">
        <w:rPr>
          <w:sz w:val="22"/>
          <w:szCs w:val="22"/>
          <w:vertAlign w:val="subscript"/>
        </w:rPr>
        <w:t>X</w:t>
      </w:r>
      <w:r w:rsidRPr="00AE65B7">
        <w:rPr>
          <w:sz w:val="22"/>
          <w:szCs w:val="22"/>
        </w:rPr>
        <w:t xml:space="preserve"> burners designed to achieve NO</w:t>
      </w:r>
      <w:r w:rsidRPr="00AE65B7">
        <w:rPr>
          <w:sz w:val="22"/>
          <w:szCs w:val="22"/>
          <w:vertAlign w:val="subscript"/>
        </w:rPr>
        <w:t>X</w:t>
      </w:r>
      <w:r w:rsidRPr="00AE65B7">
        <w:rPr>
          <w:sz w:val="22"/>
          <w:szCs w:val="22"/>
        </w:rPr>
        <w:t xml:space="preserve"> emissions less than 0.05 </w:t>
      </w:r>
      <w:proofErr w:type="spellStart"/>
      <w:r w:rsidRPr="00AE65B7">
        <w:rPr>
          <w:sz w:val="22"/>
          <w:szCs w:val="22"/>
        </w:rPr>
        <w:t>lb</w:t>
      </w:r>
      <w:proofErr w:type="spellEnd"/>
      <w:r w:rsidRPr="00AE65B7">
        <w:rPr>
          <w:sz w:val="22"/>
          <w:szCs w:val="22"/>
        </w:rPr>
        <w:t>/MMB</w:t>
      </w:r>
      <w:r w:rsidR="00770C15">
        <w:rPr>
          <w:sz w:val="22"/>
          <w:szCs w:val="22"/>
        </w:rPr>
        <w:t>tu</w:t>
      </w:r>
      <w:r w:rsidRPr="00AE65B7">
        <w:rPr>
          <w:sz w:val="22"/>
          <w:szCs w:val="22"/>
        </w:rPr>
        <w:t xml:space="preserve"> and CO emissions less than 0.08 </w:t>
      </w:r>
      <w:proofErr w:type="spellStart"/>
      <w:r w:rsidRPr="00AE65B7">
        <w:rPr>
          <w:sz w:val="22"/>
          <w:szCs w:val="22"/>
        </w:rPr>
        <w:t>lb</w:t>
      </w:r>
      <w:proofErr w:type="spellEnd"/>
      <w:r w:rsidRPr="00AE65B7">
        <w:rPr>
          <w:sz w:val="22"/>
          <w:szCs w:val="22"/>
        </w:rPr>
        <w:t xml:space="preserve">/MMBtu.  </w:t>
      </w:r>
      <w:r w:rsidRPr="00AE65B7">
        <w:rPr>
          <w:sz w:val="22"/>
        </w:rPr>
        <w:t xml:space="preserve">[Rules 62-210.200(PTE) and </w:t>
      </w:r>
      <w:r w:rsidRPr="00AE65B7">
        <w:rPr>
          <w:sz w:val="22"/>
          <w:szCs w:val="22"/>
        </w:rPr>
        <w:t>62-212.400(BACT),</w:t>
      </w:r>
      <w:r w:rsidRPr="00AE65B7">
        <w:rPr>
          <w:sz w:val="22"/>
        </w:rPr>
        <w:t xml:space="preserve"> F.A.C.</w:t>
      </w:r>
      <w:bookmarkEnd w:id="42"/>
      <w:r w:rsidRPr="00AE65B7">
        <w:rPr>
          <w:sz w:val="22"/>
        </w:rPr>
        <w:t xml:space="preserve">; and Application No. </w:t>
      </w:r>
      <w:r w:rsidR="00B519E0">
        <w:rPr>
          <w:sz w:val="22"/>
        </w:rPr>
        <w:t>1010524</w:t>
      </w:r>
      <w:r w:rsidR="00B578CC" w:rsidRPr="00B578CC">
        <w:rPr>
          <w:sz w:val="22"/>
        </w:rPr>
        <w:t>-</w:t>
      </w:r>
      <w:r w:rsidR="00B519E0">
        <w:rPr>
          <w:sz w:val="22"/>
        </w:rPr>
        <w:t>001</w:t>
      </w:r>
      <w:r w:rsidR="00B578CC" w:rsidRPr="00B578CC">
        <w:rPr>
          <w:sz w:val="22"/>
        </w:rPr>
        <w:t>-AC</w:t>
      </w:r>
      <w:r w:rsidRPr="00AE65B7">
        <w:rPr>
          <w:sz w:val="22"/>
        </w:rPr>
        <w:t>]</w:t>
      </w:r>
      <w:bookmarkEnd w:id="43"/>
    </w:p>
    <w:p w:rsidR="00AE65B7" w:rsidRPr="00AE65B7" w:rsidRDefault="00AE65B7" w:rsidP="00C00FC3">
      <w:pPr>
        <w:numPr>
          <w:ilvl w:val="0"/>
          <w:numId w:val="29"/>
        </w:numPr>
        <w:tabs>
          <w:tab w:val="left" w:pos="360"/>
          <w:tab w:val="num" w:pos="810"/>
          <w:tab w:val="left" w:pos="1440"/>
          <w:tab w:val="left" w:pos="1800"/>
          <w:tab w:val="left" w:pos="2160"/>
        </w:tabs>
        <w:spacing w:after="120"/>
        <w:rPr>
          <w:sz w:val="22"/>
          <w:szCs w:val="22"/>
        </w:rPr>
      </w:pPr>
      <w:bookmarkStart w:id="44" w:name="_Ref434503224"/>
      <w:r w:rsidRPr="00AE65B7">
        <w:rPr>
          <w:sz w:val="22"/>
          <w:szCs w:val="22"/>
          <w:u w:val="single"/>
        </w:rPr>
        <w:t>Fuel</w:t>
      </w:r>
      <w:r w:rsidRPr="00AE65B7">
        <w:rPr>
          <w:sz w:val="22"/>
          <w:szCs w:val="22"/>
        </w:rPr>
        <w:t xml:space="preserve">:  The auxiliary boiler may burn only natural gas, with a sulfur content less than 2.0 gr./100 </w:t>
      </w:r>
      <w:proofErr w:type="spellStart"/>
      <w:r w:rsidRPr="00AE65B7">
        <w:rPr>
          <w:sz w:val="22"/>
          <w:szCs w:val="22"/>
        </w:rPr>
        <w:t>scf</w:t>
      </w:r>
      <w:proofErr w:type="spellEnd"/>
      <w:r w:rsidRPr="00AE65B7">
        <w:rPr>
          <w:sz w:val="22"/>
          <w:szCs w:val="22"/>
        </w:rPr>
        <w:t xml:space="preserve">.  </w:t>
      </w:r>
      <w:r w:rsidRPr="00AE65B7">
        <w:rPr>
          <w:sz w:val="22"/>
        </w:rPr>
        <w:t>[</w:t>
      </w:r>
      <w:r w:rsidR="00D84787" w:rsidRPr="00AE65B7">
        <w:rPr>
          <w:sz w:val="22"/>
        </w:rPr>
        <w:t xml:space="preserve">Rules 62-210.200(PTE) and </w:t>
      </w:r>
      <w:r w:rsidR="00D84787" w:rsidRPr="00AE65B7">
        <w:rPr>
          <w:sz w:val="22"/>
          <w:szCs w:val="22"/>
        </w:rPr>
        <w:t>62-212.400(BACT)</w:t>
      </w:r>
      <w:r w:rsidRPr="00AE65B7">
        <w:rPr>
          <w:sz w:val="22"/>
        </w:rPr>
        <w:t xml:space="preserve">, F.A.C. and Application No. </w:t>
      </w:r>
      <w:r w:rsidR="00B519E0">
        <w:rPr>
          <w:sz w:val="22"/>
        </w:rPr>
        <w:t>1010524</w:t>
      </w:r>
      <w:r w:rsidR="00C00FC3" w:rsidRPr="00C00FC3">
        <w:rPr>
          <w:sz w:val="22"/>
        </w:rPr>
        <w:t>-</w:t>
      </w:r>
      <w:r w:rsidR="00B519E0">
        <w:rPr>
          <w:sz w:val="22"/>
        </w:rPr>
        <w:t>001</w:t>
      </w:r>
      <w:r w:rsidR="00C00FC3" w:rsidRPr="00C00FC3">
        <w:rPr>
          <w:sz w:val="22"/>
        </w:rPr>
        <w:t>-AC</w:t>
      </w:r>
      <w:r w:rsidRPr="00AE65B7">
        <w:rPr>
          <w:sz w:val="22"/>
        </w:rPr>
        <w:t>]</w:t>
      </w:r>
      <w:bookmarkEnd w:id="44"/>
    </w:p>
    <w:p w:rsidR="00AE65B7" w:rsidRPr="00AE65B7" w:rsidRDefault="00AE65B7" w:rsidP="00AE65B7">
      <w:pPr>
        <w:tabs>
          <w:tab w:val="left" w:pos="0"/>
        </w:tabs>
        <w:spacing w:after="120"/>
        <w:ind w:left="360" w:hanging="360"/>
        <w:rPr>
          <w:b/>
          <w:caps/>
          <w:sz w:val="22"/>
          <w:szCs w:val="22"/>
        </w:rPr>
      </w:pPr>
      <w:r w:rsidRPr="00AE65B7">
        <w:rPr>
          <w:b/>
          <w:caps/>
          <w:sz w:val="22"/>
          <w:szCs w:val="22"/>
        </w:rPr>
        <w:t>Emissions and Performance Requirements</w:t>
      </w:r>
    </w:p>
    <w:p w:rsidR="00AE65B7" w:rsidRPr="00AE65B7" w:rsidRDefault="00AE65B7" w:rsidP="00C00FC3">
      <w:pPr>
        <w:numPr>
          <w:ilvl w:val="0"/>
          <w:numId w:val="29"/>
        </w:numPr>
        <w:tabs>
          <w:tab w:val="left" w:pos="360"/>
          <w:tab w:val="num" w:pos="450"/>
          <w:tab w:val="left" w:pos="1440"/>
          <w:tab w:val="left" w:pos="1800"/>
          <w:tab w:val="left" w:pos="2160"/>
        </w:tabs>
        <w:spacing w:after="120"/>
        <w:rPr>
          <w:sz w:val="22"/>
          <w:szCs w:val="22"/>
        </w:rPr>
      </w:pPr>
      <w:bookmarkStart w:id="45" w:name="_Ref511650081"/>
      <w:r w:rsidRPr="00AE65B7">
        <w:rPr>
          <w:sz w:val="22"/>
          <w:szCs w:val="22"/>
          <w:u w:val="single"/>
        </w:rPr>
        <w:t>Restricted Operation</w:t>
      </w:r>
      <w:r w:rsidRPr="00AE65B7">
        <w:rPr>
          <w:sz w:val="22"/>
          <w:szCs w:val="22"/>
        </w:rPr>
        <w:t>:  The permittee may operate this unit no more than 2,000 hours per calendar year.  [</w:t>
      </w:r>
      <w:r w:rsidRPr="00AE65B7">
        <w:rPr>
          <w:sz w:val="22"/>
        </w:rPr>
        <w:t>Rule</w:t>
      </w:r>
      <w:r w:rsidR="00F06A9A">
        <w:rPr>
          <w:sz w:val="22"/>
        </w:rPr>
        <w:t>s</w:t>
      </w:r>
      <w:r w:rsidRPr="00AE65B7">
        <w:rPr>
          <w:sz w:val="22"/>
        </w:rPr>
        <w:t xml:space="preserve"> </w:t>
      </w:r>
      <w:r w:rsidR="00F06A9A" w:rsidRPr="00AE65B7">
        <w:rPr>
          <w:sz w:val="22"/>
        </w:rPr>
        <w:t xml:space="preserve">62-210.200(PTE) and </w:t>
      </w:r>
      <w:r w:rsidR="00F06A9A" w:rsidRPr="00AE65B7">
        <w:rPr>
          <w:sz w:val="22"/>
          <w:szCs w:val="22"/>
        </w:rPr>
        <w:t>62-212.400(BACT)</w:t>
      </w:r>
      <w:r w:rsidRPr="00AE65B7">
        <w:rPr>
          <w:sz w:val="22"/>
        </w:rPr>
        <w:t xml:space="preserve">, F.A.C. and Application No. </w:t>
      </w:r>
      <w:r w:rsidR="00B519E0">
        <w:rPr>
          <w:sz w:val="22"/>
        </w:rPr>
        <w:t>1010524</w:t>
      </w:r>
      <w:r w:rsidR="00C00FC3" w:rsidRPr="00C00FC3">
        <w:rPr>
          <w:sz w:val="22"/>
        </w:rPr>
        <w:t>-</w:t>
      </w:r>
      <w:r w:rsidR="00B519E0">
        <w:rPr>
          <w:sz w:val="22"/>
        </w:rPr>
        <w:t>001</w:t>
      </w:r>
      <w:r w:rsidR="00C00FC3" w:rsidRPr="00C00FC3">
        <w:rPr>
          <w:sz w:val="22"/>
        </w:rPr>
        <w:t>-AC</w:t>
      </w:r>
      <w:r w:rsidRPr="00AE65B7">
        <w:rPr>
          <w:sz w:val="22"/>
          <w:szCs w:val="22"/>
        </w:rPr>
        <w:t>]</w:t>
      </w:r>
      <w:bookmarkEnd w:id="45"/>
    </w:p>
    <w:p w:rsidR="00AE65B7" w:rsidRPr="00AE65B7" w:rsidRDefault="00AE65B7" w:rsidP="00AE65B7">
      <w:pPr>
        <w:numPr>
          <w:ilvl w:val="0"/>
          <w:numId w:val="29"/>
        </w:numPr>
        <w:tabs>
          <w:tab w:val="left" w:pos="360"/>
          <w:tab w:val="num" w:pos="1080"/>
          <w:tab w:val="left" w:pos="1440"/>
          <w:tab w:val="left" w:pos="1800"/>
          <w:tab w:val="left" w:pos="2160"/>
        </w:tabs>
        <w:spacing w:after="120"/>
        <w:rPr>
          <w:sz w:val="22"/>
          <w:szCs w:val="22"/>
        </w:rPr>
      </w:pPr>
      <w:r w:rsidRPr="00AE65B7">
        <w:rPr>
          <w:sz w:val="22"/>
          <w:szCs w:val="22"/>
          <w:u w:val="single"/>
        </w:rPr>
        <w:t>Auxiliary Boiler Emissions Limits</w:t>
      </w:r>
      <w:r w:rsidRPr="00AE65B7">
        <w:rPr>
          <w:sz w:val="22"/>
          <w:szCs w:val="22"/>
        </w:rPr>
        <w:t>:</w:t>
      </w:r>
    </w:p>
    <w:tbl>
      <w:tblPr>
        <w:tblW w:w="8787" w:type="dxa"/>
        <w:tblInd w:w="4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480"/>
        <w:gridCol w:w="2036"/>
        <w:gridCol w:w="4271"/>
      </w:tblGrid>
      <w:tr w:rsidR="00AE65B7" w:rsidRPr="00AE65B7" w:rsidTr="003F2A9C">
        <w:trPr>
          <w:trHeight w:val="222"/>
        </w:trPr>
        <w:tc>
          <w:tcPr>
            <w:tcW w:w="2480" w:type="dxa"/>
            <w:tcBorders>
              <w:top w:val="single" w:sz="12" w:space="0" w:color="auto"/>
              <w:left w:val="single" w:sz="12" w:space="0" w:color="auto"/>
              <w:bottom w:val="single" w:sz="12" w:space="0" w:color="auto"/>
              <w:right w:val="single" w:sz="6" w:space="0" w:color="auto"/>
            </w:tcBorders>
            <w:shd w:val="clear" w:color="auto" w:fill="B8CCE4"/>
            <w:vAlign w:val="center"/>
            <w:hideMark/>
          </w:tcPr>
          <w:p w:rsidR="00AE65B7" w:rsidRPr="00AE65B7" w:rsidRDefault="00AE65B7" w:rsidP="00AE65B7">
            <w:pPr>
              <w:jc w:val="center"/>
              <w:rPr>
                <w:b/>
              </w:rPr>
            </w:pPr>
            <w:r w:rsidRPr="00AE65B7">
              <w:rPr>
                <w:b/>
              </w:rPr>
              <w:t>NO</w:t>
            </w:r>
            <w:r w:rsidRPr="00AE65B7">
              <w:rPr>
                <w:b/>
                <w:vertAlign w:val="subscript"/>
              </w:rPr>
              <w:t>X</w:t>
            </w:r>
          </w:p>
        </w:tc>
        <w:tc>
          <w:tcPr>
            <w:tcW w:w="2036" w:type="dxa"/>
            <w:tcBorders>
              <w:top w:val="single" w:sz="12" w:space="0" w:color="auto"/>
              <w:left w:val="single" w:sz="6" w:space="0" w:color="auto"/>
              <w:bottom w:val="single" w:sz="12" w:space="0" w:color="auto"/>
              <w:right w:val="single" w:sz="6" w:space="0" w:color="auto"/>
            </w:tcBorders>
            <w:shd w:val="clear" w:color="auto" w:fill="B8CCE4"/>
            <w:vAlign w:val="center"/>
            <w:hideMark/>
          </w:tcPr>
          <w:p w:rsidR="00AE65B7" w:rsidRPr="00AE65B7" w:rsidRDefault="00AE65B7" w:rsidP="00AE65B7">
            <w:pPr>
              <w:jc w:val="center"/>
              <w:rPr>
                <w:b/>
              </w:rPr>
            </w:pPr>
            <w:r w:rsidRPr="00AE65B7">
              <w:rPr>
                <w:b/>
              </w:rPr>
              <w:t>CO</w:t>
            </w:r>
          </w:p>
        </w:tc>
        <w:tc>
          <w:tcPr>
            <w:tcW w:w="4271" w:type="dxa"/>
            <w:tcBorders>
              <w:top w:val="single" w:sz="12" w:space="0" w:color="auto"/>
              <w:left w:val="single" w:sz="6" w:space="0" w:color="auto"/>
              <w:bottom w:val="single" w:sz="12" w:space="0" w:color="auto"/>
              <w:right w:val="single" w:sz="12" w:space="0" w:color="auto"/>
            </w:tcBorders>
            <w:shd w:val="clear" w:color="auto" w:fill="B8CCE4"/>
            <w:vAlign w:val="center"/>
            <w:hideMark/>
          </w:tcPr>
          <w:p w:rsidR="00AE65B7" w:rsidRPr="00AE65B7" w:rsidRDefault="00AE65B7" w:rsidP="00AE65B7">
            <w:pPr>
              <w:jc w:val="center"/>
              <w:rPr>
                <w:b/>
              </w:rPr>
            </w:pPr>
            <w:r w:rsidRPr="00AE65B7">
              <w:rPr>
                <w:b/>
              </w:rPr>
              <w:t>SO</w:t>
            </w:r>
            <w:r w:rsidRPr="00AE65B7">
              <w:rPr>
                <w:b/>
                <w:vertAlign w:val="subscript"/>
              </w:rPr>
              <w:t>2</w:t>
            </w:r>
            <w:r w:rsidRPr="00AE65B7">
              <w:rPr>
                <w:b/>
              </w:rPr>
              <w:t>, SAM, PM/PM</w:t>
            </w:r>
            <w:r w:rsidRPr="00AE65B7">
              <w:rPr>
                <w:b/>
                <w:vertAlign w:val="subscript"/>
              </w:rPr>
              <w:t>10</w:t>
            </w:r>
            <w:r w:rsidRPr="00AE65B7">
              <w:rPr>
                <w:b/>
              </w:rPr>
              <w:t>/PM</w:t>
            </w:r>
            <w:r w:rsidRPr="00AE65B7">
              <w:rPr>
                <w:b/>
                <w:vertAlign w:val="subscript"/>
              </w:rPr>
              <w:t>2.5</w:t>
            </w:r>
          </w:p>
        </w:tc>
      </w:tr>
      <w:tr w:rsidR="00AE65B7" w:rsidRPr="00AE65B7" w:rsidTr="003F2A9C">
        <w:trPr>
          <w:trHeight w:val="420"/>
        </w:trPr>
        <w:tc>
          <w:tcPr>
            <w:tcW w:w="2480" w:type="dxa"/>
            <w:tcBorders>
              <w:top w:val="single" w:sz="12" w:space="0" w:color="auto"/>
              <w:left w:val="single" w:sz="12" w:space="0" w:color="auto"/>
              <w:bottom w:val="single" w:sz="12" w:space="0" w:color="auto"/>
              <w:right w:val="single" w:sz="6" w:space="0" w:color="auto"/>
            </w:tcBorders>
            <w:vAlign w:val="center"/>
            <w:hideMark/>
          </w:tcPr>
          <w:p w:rsidR="00AE65B7" w:rsidRPr="00AE65B7" w:rsidRDefault="00AE65B7" w:rsidP="00AE65B7">
            <w:pPr>
              <w:tabs>
                <w:tab w:val="left" w:pos="90"/>
                <w:tab w:val="left" w:pos="5184"/>
                <w:tab w:val="right" w:pos="9504"/>
              </w:tabs>
              <w:spacing w:before="60" w:after="60"/>
              <w:jc w:val="center"/>
              <w:rPr>
                <w:lang w:val="de-DE"/>
              </w:rPr>
            </w:pPr>
            <w:r w:rsidRPr="00AE65B7">
              <w:rPr>
                <w:lang w:val="de-DE"/>
              </w:rPr>
              <w:t>0.05 lb/MMBtu</w:t>
            </w:r>
          </w:p>
        </w:tc>
        <w:tc>
          <w:tcPr>
            <w:tcW w:w="2036" w:type="dxa"/>
            <w:tcBorders>
              <w:top w:val="single" w:sz="12" w:space="0" w:color="auto"/>
              <w:left w:val="single" w:sz="6" w:space="0" w:color="auto"/>
              <w:bottom w:val="single" w:sz="12" w:space="0" w:color="auto"/>
              <w:right w:val="single" w:sz="6" w:space="0" w:color="auto"/>
            </w:tcBorders>
            <w:vAlign w:val="center"/>
            <w:hideMark/>
          </w:tcPr>
          <w:p w:rsidR="00AE65B7" w:rsidRPr="00AE65B7" w:rsidRDefault="00AE65B7" w:rsidP="00AE65B7">
            <w:pPr>
              <w:tabs>
                <w:tab w:val="left" w:pos="90"/>
                <w:tab w:val="left" w:pos="5184"/>
                <w:tab w:val="right" w:pos="9504"/>
              </w:tabs>
              <w:spacing w:before="60" w:after="60"/>
              <w:jc w:val="center"/>
              <w:rPr>
                <w:lang w:val="de-DE"/>
              </w:rPr>
            </w:pPr>
            <w:r w:rsidRPr="00AE65B7">
              <w:rPr>
                <w:lang w:val="de-DE"/>
              </w:rPr>
              <w:t>0.08 lb/MMBtu</w:t>
            </w:r>
          </w:p>
        </w:tc>
        <w:tc>
          <w:tcPr>
            <w:tcW w:w="4271" w:type="dxa"/>
            <w:tcBorders>
              <w:top w:val="single" w:sz="12" w:space="0" w:color="auto"/>
              <w:left w:val="single" w:sz="6" w:space="0" w:color="auto"/>
              <w:bottom w:val="single" w:sz="12" w:space="0" w:color="auto"/>
              <w:right w:val="single" w:sz="12" w:space="0" w:color="auto"/>
            </w:tcBorders>
            <w:vAlign w:val="center"/>
            <w:hideMark/>
          </w:tcPr>
          <w:p w:rsidR="00AE65B7" w:rsidRPr="00AE65B7" w:rsidRDefault="00AE65B7" w:rsidP="00AE65B7">
            <w:pPr>
              <w:tabs>
                <w:tab w:val="left" w:pos="90"/>
                <w:tab w:val="left" w:pos="5184"/>
                <w:tab w:val="right" w:pos="9504"/>
              </w:tabs>
              <w:spacing w:before="60" w:after="60"/>
              <w:jc w:val="center"/>
            </w:pPr>
            <w:r w:rsidRPr="00AE65B7">
              <w:t>2</w:t>
            </w:r>
            <w:r w:rsidR="001A6309">
              <w:t>.0</w:t>
            </w:r>
            <w:r w:rsidRPr="00AE65B7">
              <w:t xml:space="preserve"> gr. S/100 </w:t>
            </w:r>
            <w:proofErr w:type="spellStart"/>
            <w:r w:rsidRPr="00AE65B7">
              <w:t>scf</w:t>
            </w:r>
            <w:proofErr w:type="spellEnd"/>
            <w:r w:rsidRPr="00AE65B7">
              <w:t xml:space="preserve"> natural gas and 20% Opacity</w:t>
            </w:r>
          </w:p>
        </w:tc>
      </w:tr>
    </w:tbl>
    <w:p w:rsidR="00AE65B7" w:rsidRPr="00AE65B7" w:rsidRDefault="00AE65B7" w:rsidP="00AE65B7">
      <w:pPr>
        <w:tabs>
          <w:tab w:val="left" w:pos="360"/>
          <w:tab w:val="left" w:pos="1440"/>
          <w:tab w:val="left" w:pos="1800"/>
          <w:tab w:val="left" w:pos="2160"/>
        </w:tabs>
        <w:spacing w:before="120" w:after="120"/>
        <w:ind w:left="360"/>
        <w:rPr>
          <w:i/>
          <w:sz w:val="22"/>
        </w:rPr>
      </w:pPr>
      <w:r w:rsidRPr="00AE65B7">
        <w:rPr>
          <w:i/>
          <w:sz w:val="22"/>
        </w:rPr>
        <w:t xml:space="preserve">{Permitting </w:t>
      </w:r>
      <w:r w:rsidR="00073630">
        <w:rPr>
          <w:i/>
          <w:sz w:val="22"/>
        </w:rPr>
        <w:t>N</w:t>
      </w:r>
      <w:r w:rsidRPr="00AE65B7">
        <w:rPr>
          <w:i/>
          <w:sz w:val="22"/>
        </w:rPr>
        <w:t xml:space="preserve">ote:  The limits in this table, plus the design and fuel restrictions in </w:t>
      </w:r>
      <w:r w:rsidRPr="00AE65B7">
        <w:rPr>
          <w:b/>
          <w:i/>
          <w:sz w:val="22"/>
        </w:rPr>
        <w:t xml:space="preserve">Specific Conditions </w:t>
      </w:r>
      <w:r w:rsidR="002879F0">
        <w:rPr>
          <w:b/>
          <w:i/>
          <w:sz w:val="22"/>
        </w:rPr>
        <w:fldChar w:fldCharType="begin"/>
      </w:r>
      <w:r w:rsidR="002879F0">
        <w:rPr>
          <w:b/>
          <w:i/>
          <w:sz w:val="22"/>
        </w:rPr>
        <w:instrText xml:space="preserve"> REF _Ref511650126 \r \h </w:instrText>
      </w:r>
      <w:r w:rsidR="002879F0">
        <w:rPr>
          <w:b/>
          <w:i/>
          <w:sz w:val="22"/>
        </w:rPr>
      </w:r>
      <w:r w:rsidR="002879F0">
        <w:rPr>
          <w:b/>
          <w:i/>
          <w:sz w:val="22"/>
        </w:rPr>
        <w:fldChar w:fldCharType="separate"/>
      </w:r>
      <w:r w:rsidR="006D04C9">
        <w:rPr>
          <w:b/>
          <w:i/>
          <w:sz w:val="22"/>
        </w:rPr>
        <w:t>2</w:t>
      </w:r>
      <w:r w:rsidR="002879F0">
        <w:rPr>
          <w:b/>
          <w:i/>
          <w:sz w:val="22"/>
        </w:rPr>
        <w:fldChar w:fldCharType="end"/>
      </w:r>
      <w:r w:rsidRPr="00AE65B7">
        <w:rPr>
          <w:b/>
          <w:i/>
          <w:sz w:val="22"/>
        </w:rPr>
        <w:t xml:space="preserve"> and </w:t>
      </w:r>
      <w:r w:rsidR="002879F0" w:rsidRPr="00AE65B7">
        <w:rPr>
          <w:b/>
          <w:i/>
          <w:sz w:val="22"/>
        </w:rPr>
        <w:fldChar w:fldCharType="begin"/>
      </w:r>
      <w:r w:rsidR="002879F0" w:rsidRPr="00AE65B7">
        <w:rPr>
          <w:b/>
          <w:i/>
          <w:sz w:val="22"/>
        </w:rPr>
        <w:instrText xml:space="preserve"> REF _Ref434503224 \r \h  \* MERGEFORMAT </w:instrText>
      </w:r>
      <w:r w:rsidR="002879F0" w:rsidRPr="00AE65B7">
        <w:rPr>
          <w:b/>
          <w:i/>
          <w:sz w:val="22"/>
        </w:rPr>
      </w:r>
      <w:r w:rsidR="002879F0" w:rsidRPr="00AE65B7">
        <w:rPr>
          <w:b/>
          <w:i/>
          <w:sz w:val="22"/>
        </w:rPr>
        <w:fldChar w:fldCharType="separate"/>
      </w:r>
      <w:r w:rsidR="006D04C9">
        <w:rPr>
          <w:b/>
          <w:i/>
          <w:sz w:val="22"/>
        </w:rPr>
        <w:t>3</w:t>
      </w:r>
      <w:r w:rsidR="002879F0" w:rsidRPr="00AE65B7">
        <w:rPr>
          <w:b/>
          <w:i/>
          <w:sz w:val="22"/>
        </w:rPr>
        <w:fldChar w:fldCharType="end"/>
      </w:r>
      <w:r w:rsidRPr="00AE65B7">
        <w:rPr>
          <w:i/>
          <w:sz w:val="22"/>
        </w:rPr>
        <w:t xml:space="preserve"> serve as continuous emissions limitations for all pollutants.}</w:t>
      </w:r>
    </w:p>
    <w:p w:rsidR="00AE65B7" w:rsidRPr="00AE65B7" w:rsidRDefault="00D84787" w:rsidP="00AE65B7">
      <w:pPr>
        <w:tabs>
          <w:tab w:val="left" w:pos="360"/>
          <w:tab w:val="left" w:pos="1440"/>
          <w:tab w:val="left" w:pos="1800"/>
          <w:tab w:val="left" w:pos="2160"/>
        </w:tabs>
        <w:spacing w:before="120" w:after="120"/>
        <w:ind w:left="360"/>
        <w:rPr>
          <w:sz w:val="22"/>
        </w:rPr>
      </w:pPr>
      <w:r>
        <w:rPr>
          <w:sz w:val="22"/>
        </w:rPr>
        <w:t>[Rules 62-212</w:t>
      </w:r>
      <w:r w:rsidR="00AE65B7" w:rsidRPr="00AE65B7">
        <w:rPr>
          <w:sz w:val="22"/>
        </w:rPr>
        <w:t>.</w:t>
      </w:r>
      <w:r>
        <w:rPr>
          <w:sz w:val="22"/>
        </w:rPr>
        <w:t>4</w:t>
      </w:r>
      <w:r w:rsidR="00AE65B7" w:rsidRPr="00AE65B7">
        <w:rPr>
          <w:sz w:val="22"/>
        </w:rPr>
        <w:t>00(BACT) and 62-296.406, F.A.C.</w:t>
      </w:r>
      <w:r w:rsidR="00AC53D5">
        <w:rPr>
          <w:sz w:val="22"/>
        </w:rPr>
        <w:t>,</w:t>
      </w:r>
      <w:r w:rsidR="00AE65B7" w:rsidRPr="00AE65B7">
        <w:rPr>
          <w:sz w:val="22"/>
        </w:rPr>
        <w:t xml:space="preserve"> and Application No. </w:t>
      </w:r>
      <w:r w:rsidR="00B519E0">
        <w:rPr>
          <w:sz w:val="22"/>
        </w:rPr>
        <w:t>1010524</w:t>
      </w:r>
      <w:r w:rsidR="007F7858" w:rsidRPr="007F7858">
        <w:rPr>
          <w:sz w:val="22"/>
        </w:rPr>
        <w:t>-</w:t>
      </w:r>
      <w:r w:rsidR="00B519E0">
        <w:rPr>
          <w:sz w:val="22"/>
        </w:rPr>
        <w:t>001</w:t>
      </w:r>
      <w:r w:rsidR="007F7858" w:rsidRPr="007F7858">
        <w:rPr>
          <w:sz w:val="22"/>
        </w:rPr>
        <w:t>-AC</w:t>
      </w:r>
      <w:r w:rsidR="00AE65B7" w:rsidRPr="00AE65B7">
        <w:rPr>
          <w:sz w:val="22"/>
        </w:rPr>
        <w:t>]</w:t>
      </w:r>
    </w:p>
    <w:p w:rsidR="00AE65B7" w:rsidRPr="00AE65B7" w:rsidRDefault="00AE65B7" w:rsidP="00AE65B7">
      <w:pPr>
        <w:numPr>
          <w:ilvl w:val="0"/>
          <w:numId w:val="29"/>
        </w:numPr>
        <w:tabs>
          <w:tab w:val="left" w:pos="360"/>
          <w:tab w:val="left" w:pos="630"/>
          <w:tab w:val="left" w:pos="1440"/>
          <w:tab w:val="left" w:pos="1800"/>
          <w:tab w:val="left" w:pos="2160"/>
        </w:tabs>
        <w:rPr>
          <w:sz w:val="22"/>
        </w:rPr>
      </w:pPr>
      <w:r w:rsidRPr="00AE65B7">
        <w:rPr>
          <w:sz w:val="22"/>
          <w:szCs w:val="22"/>
          <w:u w:val="single"/>
        </w:rPr>
        <w:t>Visible</w:t>
      </w:r>
      <w:r w:rsidRPr="00AE65B7">
        <w:rPr>
          <w:sz w:val="22"/>
          <w:u w:val="single"/>
        </w:rPr>
        <w:t xml:space="preserve"> Emissions</w:t>
      </w:r>
      <w:r w:rsidRPr="00AE65B7">
        <w:rPr>
          <w:sz w:val="22"/>
        </w:rPr>
        <w:t>.</w:t>
      </w:r>
      <w:r w:rsidRPr="00AE65B7">
        <w:rPr>
          <w:sz w:val="22"/>
          <w:szCs w:val="22"/>
        </w:rPr>
        <w:t xml:space="preserve">  </w:t>
      </w:r>
      <w:r w:rsidRPr="00AE65B7">
        <w:rPr>
          <w:sz w:val="22"/>
        </w:rPr>
        <w:t>V</w:t>
      </w:r>
      <w:r w:rsidRPr="00AE65B7">
        <w:rPr>
          <w:sz w:val="22"/>
          <w:szCs w:val="22"/>
        </w:rPr>
        <w:t>isible emissions (VE) from each unit shall not exceed 20 percent opacity except for one six-minute period per one-hour period during which opacity shall not exceed 27 percent.</w:t>
      </w:r>
    </w:p>
    <w:p w:rsidR="00AE65B7" w:rsidRPr="00AE65B7" w:rsidRDefault="00AE65B7" w:rsidP="00AE65B7">
      <w:pPr>
        <w:tabs>
          <w:tab w:val="left" w:pos="360"/>
          <w:tab w:val="left" w:pos="1440"/>
          <w:tab w:val="left" w:pos="1800"/>
          <w:tab w:val="left" w:pos="2160"/>
        </w:tabs>
        <w:spacing w:after="120"/>
        <w:ind w:left="360"/>
        <w:rPr>
          <w:sz w:val="22"/>
        </w:rPr>
      </w:pPr>
      <w:r w:rsidRPr="00AE65B7">
        <w:rPr>
          <w:sz w:val="22"/>
          <w:szCs w:val="22"/>
        </w:rPr>
        <w:t xml:space="preserve">[Rule </w:t>
      </w:r>
      <w:bookmarkStart w:id="46" w:name="_Hlk493067185"/>
      <w:r w:rsidRPr="00AE65B7">
        <w:rPr>
          <w:sz w:val="22"/>
          <w:szCs w:val="22"/>
        </w:rPr>
        <w:t>62-296.406</w:t>
      </w:r>
      <w:bookmarkEnd w:id="46"/>
      <w:r w:rsidRPr="00AE65B7">
        <w:rPr>
          <w:sz w:val="22"/>
          <w:szCs w:val="22"/>
        </w:rPr>
        <w:t>, F.A.C.]</w:t>
      </w:r>
    </w:p>
    <w:p w:rsidR="00AE65B7" w:rsidRPr="00AE65B7" w:rsidRDefault="00AE65B7" w:rsidP="00AE65B7">
      <w:pPr>
        <w:numPr>
          <w:ilvl w:val="0"/>
          <w:numId w:val="29"/>
        </w:numPr>
        <w:tabs>
          <w:tab w:val="left" w:pos="360"/>
          <w:tab w:val="num" w:pos="1080"/>
          <w:tab w:val="left" w:pos="1440"/>
          <w:tab w:val="left" w:pos="1800"/>
          <w:tab w:val="left" w:pos="2160"/>
        </w:tabs>
        <w:spacing w:before="120" w:after="120"/>
        <w:rPr>
          <w:sz w:val="22"/>
        </w:rPr>
      </w:pPr>
      <w:r w:rsidRPr="00AE65B7">
        <w:rPr>
          <w:sz w:val="22"/>
          <w:szCs w:val="22"/>
          <w:u w:val="single"/>
        </w:rPr>
        <w:t>Initial Testing Requirements</w:t>
      </w:r>
      <w:r w:rsidRPr="00AE65B7">
        <w:rPr>
          <w:sz w:val="22"/>
          <w:szCs w:val="22"/>
        </w:rPr>
        <w:t>:  The boiler shall be tested to demonstrate initial</w:t>
      </w:r>
      <w:r w:rsidRPr="00AE65B7">
        <w:rPr>
          <w:sz w:val="22"/>
        </w:rPr>
        <w:t xml:space="preserve"> compliance with the emission standards for CO, NO</w:t>
      </w:r>
      <w:r w:rsidRPr="00AE65B7">
        <w:rPr>
          <w:sz w:val="22"/>
          <w:vertAlign w:val="subscript"/>
        </w:rPr>
        <w:t>X</w:t>
      </w:r>
      <w:r w:rsidRPr="00AE65B7">
        <w:rPr>
          <w:sz w:val="22"/>
        </w:rPr>
        <w:t xml:space="preserve">, and VE.  The tests shall be conducted within 60 days after achieving the maximum production rate at which the unit will be operated, but not later than 180 days after the </w:t>
      </w:r>
      <w:r w:rsidR="00135D28">
        <w:rPr>
          <w:color w:val="000000"/>
          <w:sz w:val="22"/>
          <w:szCs w:val="22"/>
        </w:rPr>
        <w:t>initial startup</w:t>
      </w:r>
      <w:r w:rsidRPr="00AE65B7">
        <w:rPr>
          <w:color w:val="000000"/>
          <w:sz w:val="22"/>
          <w:szCs w:val="22"/>
        </w:rPr>
        <w:t>.</w:t>
      </w:r>
      <w:r w:rsidRPr="00AE65B7">
        <w:rPr>
          <w:sz w:val="22"/>
        </w:rPr>
        <w:t xml:space="preserve">  As an alternative to testing for CO and NO</w:t>
      </w:r>
      <w:r w:rsidRPr="00AE65B7">
        <w:rPr>
          <w:sz w:val="22"/>
          <w:vertAlign w:val="subscript"/>
        </w:rPr>
        <w:t>X</w:t>
      </w:r>
      <w:r w:rsidRPr="00AE65B7">
        <w:rPr>
          <w:sz w:val="22"/>
        </w:rPr>
        <w:t xml:space="preserve"> emissions, a manufacturer certification of emissions characteristics for CO and NO</w:t>
      </w:r>
      <w:r w:rsidRPr="00AE65B7">
        <w:rPr>
          <w:sz w:val="22"/>
          <w:vertAlign w:val="subscript"/>
        </w:rPr>
        <w:t>X</w:t>
      </w:r>
      <w:r w:rsidRPr="00AE65B7">
        <w:rPr>
          <w:sz w:val="22"/>
        </w:rPr>
        <w:t xml:space="preserve"> that are at least as stringent as the BACT values can be used to fulfill CO and NO</w:t>
      </w:r>
      <w:r w:rsidRPr="00AE65B7">
        <w:rPr>
          <w:sz w:val="22"/>
          <w:vertAlign w:val="subscript"/>
        </w:rPr>
        <w:t>X</w:t>
      </w:r>
      <w:r w:rsidRPr="00AE65B7">
        <w:rPr>
          <w:sz w:val="22"/>
        </w:rPr>
        <w:t xml:space="preserve"> testing requirements.  [Rule</w:t>
      </w:r>
      <w:r w:rsidRPr="00AE65B7">
        <w:rPr>
          <w:sz w:val="22"/>
          <w:szCs w:val="22"/>
        </w:rPr>
        <w:t>s 62-4.070, 62-21</w:t>
      </w:r>
      <w:r w:rsidR="00914F7B">
        <w:rPr>
          <w:sz w:val="22"/>
          <w:szCs w:val="22"/>
        </w:rPr>
        <w:t>2</w:t>
      </w:r>
      <w:r w:rsidRPr="00AE65B7">
        <w:rPr>
          <w:sz w:val="22"/>
          <w:szCs w:val="22"/>
        </w:rPr>
        <w:t>.</w:t>
      </w:r>
      <w:r w:rsidR="00914F7B">
        <w:rPr>
          <w:sz w:val="22"/>
          <w:szCs w:val="22"/>
        </w:rPr>
        <w:t>4</w:t>
      </w:r>
      <w:r w:rsidRPr="00AE65B7">
        <w:rPr>
          <w:sz w:val="22"/>
          <w:szCs w:val="22"/>
        </w:rPr>
        <w:t>00(BACT), and</w:t>
      </w:r>
      <w:r w:rsidRPr="00AE65B7">
        <w:rPr>
          <w:sz w:val="22"/>
        </w:rPr>
        <w:t xml:space="preserve"> </w:t>
      </w:r>
      <w:r w:rsidRPr="00AE65B7">
        <w:rPr>
          <w:sz w:val="22"/>
          <w:szCs w:val="22"/>
        </w:rPr>
        <w:t>62</w:t>
      </w:r>
      <w:r w:rsidRPr="00AE65B7">
        <w:rPr>
          <w:sz w:val="22"/>
          <w:szCs w:val="22"/>
        </w:rPr>
        <w:noBreakHyphen/>
        <w:t>297.310(8)(</w:t>
      </w:r>
      <w:r w:rsidR="00C363D2">
        <w:rPr>
          <w:sz w:val="22"/>
          <w:szCs w:val="22"/>
        </w:rPr>
        <w:t>b</w:t>
      </w:r>
      <w:r w:rsidRPr="00AE65B7">
        <w:rPr>
          <w:sz w:val="22"/>
          <w:szCs w:val="22"/>
        </w:rPr>
        <w:t>)</w:t>
      </w:r>
      <w:r w:rsidRPr="00AE65B7">
        <w:rPr>
          <w:sz w:val="22"/>
        </w:rPr>
        <w:t>, F.A.C.]</w:t>
      </w:r>
    </w:p>
    <w:p w:rsidR="00AE65B7" w:rsidRPr="00AE65B7" w:rsidRDefault="00C363D2" w:rsidP="007654A9">
      <w:pPr>
        <w:numPr>
          <w:ilvl w:val="0"/>
          <w:numId w:val="29"/>
        </w:numPr>
        <w:tabs>
          <w:tab w:val="left" w:pos="1440"/>
          <w:tab w:val="left" w:pos="1800"/>
          <w:tab w:val="left" w:pos="2160"/>
        </w:tabs>
        <w:spacing w:before="120" w:after="120"/>
        <w:rPr>
          <w:sz w:val="22"/>
          <w:szCs w:val="22"/>
        </w:rPr>
      </w:pPr>
      <w:r>
        <w:rPr>
          <w:sz w:val="22"/>
          <w:szCs w:val="22"/>
          <w:u w:val="single"/>
        </w:rPr>
        <w:t xml:space="preserve">Subsequent </w:t>
      </w:r>
      <w:r w:rsidR="00D84787">
        <w:rPr>
          <w:sz w:val="22"/>
          <w:szCs w:val="22"/>
          <w:u w:val="single"/>
        </w:rPr>
        <w:t>Annual</w:t>
      </w:r>
      <w:r w:rsidR="00AE65B7" w:rsidRPr="00AE65B7">
        <w:rPr>
          <w:sz w:val="22"/>
          <w:szCs w:val="22"/>
          <w:u w:val="single"/>
        </w:rPr>
        <w:t xml:space="preserve"> Testing Requirements</w:t>
      </w:r>
      <w:r w:rsidR="00AE65B7" w:rsidRPr="00AE65B7">
        <w:rPr>
          <w:sz w:val="22"/>
          <w:szCs w:val="22"/>
        </w:rPr>
        <w:t xml:space="preserve">:  </w:t>
      </w:r>
      <w:r w:rsidR="007654A9" w:rsidRPr="007654A9">
        <w:rPr>
          <w:sz w:val="22"/>
          <w:szCs w:val="22"/>
        </w:rPr>
        <w:t>The permittee shall conduct an annual compliance test for visible emissions.  Compliance tests for NO</w:t>
      </w:r>
      <w:r w:rsidR="007654A9" w:rsidRPr="007654A9">
        <w:rPr>
          <w:sz w:val="22"/>
          <w:szCs w:val="22"/>
          <w:vertAlign w:val="subscript"/>
        </w:rPr>
        <w:t>X</w:t>
      </w:r>
      <w:r w:rsidR="007654A9" w:rsidRPr="007654A9">
        <w:rPr>
          <w:sz w:val="22"/>
          <w:szCs w:val="22"/>
        </w:rPr>
        <w:t xml:space="preserve"> and CO shall be conducted prior to each renewal of the facility’s Title V operating permit, however no NO</w:t>
      </w:r>
      <w:r w:rsidR="007654A9" w:rsidRPr="007654A9">
        <w:rPr>
          <w:sz w:val="22"/>
          <w:szCs w:val="22"/>
          <w:vertAlign w:val="subscript"/>
        </w:rPr>
        <w:t>X</w:t>
      </w:r>
      <w:r w:rsidR="007654A9" w:rsidRPr="007654A9">
        <w:rPr>
          <w:sz w:val="22"/>
          <w:szCs w:val="22"/>
        </w:rPr>
        <w:t xml:space="preserve"> or CO test will be required if the unit is certified by the manufacturer to meet the NO</w:t>
      </w:r>
      <w:r w:rsidR="007654A9" w:rsidRPr="007654A9">
        <w:rPr>
          <w:sz w:val="22"/>
          <w:szCs w:val="22"/>
          <w:vertAlign w:val="subscript"/>
        </w:rPr>
        <w:t>X</w:t>
      </w:r>
      <w:r w:rsidR="007654A9" w:rsidRPr="007654A9">
        <w:rPr>
          <w:sz w:val="22"/>
          <w:szCs w:val="22"/>
        </w:rPr>
        <w:t xml:space="preserve"> and CO BACT limits.  The Department retains the right to require CO or NO</w:t>
      </w:r>
      <w:r w:rsidR="007654A9" w:rsidRPr="007654A9">
        <w:rPr>
          <w:sz w:val="22"/>
          <w:szCs w:val="22"/>
          <w:vertAlign w:val="subscript"/>
        </w:rPr>
        <w:t>X</w:t>
      </w:r>
      <w:r w:rsidR="007654A9" w:rsidRPr="007654A9">
        <w:rPr>
          <w:sz w:val="22"/>
          <w:szCs w:val="22"/>
        </w:rPr>
        <w:t xml:space="preserve"> testing if visible </w:t>
      </w:r>
      <w:r w:rsidR="007654A9" w:rsidRPr="007654A9">
        <w:rPr>
          <w:sz w:val="22"/>
          <w:szCs w:val="22"/>
        </w:rPr>
        <w:lastRenderedPageBreak/>
        <w:t>emission limits are exceeded or for the reasons listed in Rule 62-297.310(8)(c), F.A.C., Special Compliance Test</w:t>
      </w:r>
      <w:r w:rsidR="00AE65B7" w:rsidRPr="00AE65B7">
        <w:rPr>
          <w:sz w:val="22"/>
          <w:szCs w:val="22"/>
        </w:rPr>
        <w:t>.  [Rules 62-4.070, 62-21</w:t>
      </w:r>
      <w:r w:rsidR="00F44753">
        <w:rPr>
          <w:sz w:val="22"/>
          <w:szCs w:val="22"/>
        </w:rPr>
        <w:t>2</w:t>
      </w:r>
      <w:r w:rsidR="00AE65B7" w:rsidRPr="00AE65B7">
        <w:rPr>
          <w:sz w:val="22"/>
          <w:szCs w:val="22"/>
        </w:rPr>
        <w:t>.</w:t>
      </w:r>
      <w:r w:rsidR="00F44753">
        <w:rPr>
          <w:sz w:val="22"/>
          <w:szCs w:val="22"/>
        </w:rPr>
        <w:t>4</w:t>
      </w:r>
      <w:r w:rsidR="00AE65B7" w:rsidRPr="00AE65B7">
        <w:rPr>
          <w:sz w:val="22"/>
          <w:szCs w:val="22"/>
        </w:rPr>
        <w:t>00(BACT), and 62-297.310(8)(a)4, F.A.C.]</w:t>
      </w:r>
    </w:p>
    <w:p w:rsidR="00AE65B7" w:rsidRPr="00AE65B7" w:rsidRDefault="00AE65B7" w:rsidP="00AE65B7">
      <w:pPr>
        <w:numPr>
          <w:ilvl w:val="0"/>
          <w:numId w:val="29"/>
        </w:numPr>
        <w:tabs>
          <w:tab w:val="left" w:pos="360"/>
          <w:tab w:val="num" w:pos="1080"/>
          <w:tab w:val="left" w:pos="1440"/>
          <w:tab w:val="left" w:pos="1800"/>
          <w:tab w:val="left" w:pos="2160"/>
        </w:tabs>
        <w:spacing w:before="120" w:after="120"/>
        <w:rPr>
          <w:sz w:val="22"/>
        </w:rPr>
      </w:pPr>
      <w:r w:rsidRPr="00AE65B7">
        <w:rPr>
          <w:sz w:val="22"/>
          <w:u w:val="single"/>
        </w:rPr>
        <w:t>Test Methods</w:t>
      </w:r>
      <w:r w:rsidRPr="00AE65B7">
        <w:rPr>
          <w:sz w:val="22"/>
        </w:rPr>
        <w:t>:  Any required tests shall be performed in accordance with the following reference methods.</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8290"/>
      </w:tblGrid>
      <w:tr w:rsidR="00AE65B7" w:rsidRPr="00AE65B7" w:rsidTr="003F2A9C">
        <w:trPr>
          <w:trHeight w:val="157"/>
        </w:trPr>
        <w:tc>
          <w:tcPr>
            <w:tcW w:w="1069" w:type="dxa"/>
            <w:tcBorders>
              <w:top w:val="single" w:sz="12" w:space="0" w:color="auto"/>
              <w:left w:val="single" w:sz="12" w:space="0" w:color="auto"/>
              <w:bottom w:val="single" w:sz="12" w:space="0" w:color="auto"/>
              <w:right w:val="single" w:sz="4" w:space="0" w:color="auto"/>
            </w:tcBorders>
            <w:shd w:val="clear" w:color="auto" w:fill="B8CCE4"/>
            <w:hideMark/>
          </w:tcPr>
          <w:p w:rsidR="00AE65B7" w:rsidRPr="00AE65B7" w:rsidRDefault="00AE65B7" w:rsidP="00AE65B7">
            <w:pPr>
              <w:jc w:val="center"/>
              <w:rPr>
                <w:b/>
              </w:rPr>
            </w:pPr>
            <w:r w:rsidRPr="00AE65B7">
              <w:rPr>
                <w:b/>
              </w:rPr>
              <w:t>Method</w:t>
            </w:r>
          </w:p>
        </w:tc>
        <w:tc>
          <w:tcPr>
            <w:tcW w:w="8290" w:type="dxa"/>
            <w:tcBorders>
              <w:top w:val="single" w:sz="12" w:space="0" w:color="auto"/>
              <w:left w:val="single" w:sz="4" w:space="0" w:color="auto"/>
              <w:bottom w:val="single" w:sz="12" w:space="0" w:color="auto"/>
              <w:right w:val="single" w:sz="12" w:space="0" w:color="auto"/>
            </w:tcBorders>
            <w:shd w:val="clear" w:color="auto" w:fill="B8CCE4"/>
            <w:hideMark/>
          </w:tcPr>
          <w:p w:rsidR="00AE65B7" w:rsidRPr="00AE65B7" w:rsidRDefault="00AE65B7" w:rsidP="00AE65B7">
            <w:pPr>
              <w:jc w:val="both"/>
              <w:rPr>
                <w:b/>
              </w:rPr>
            </w:pPr>
            <w:r w:rsidRPr="00AE65B7">
              <w:rPr>
                <w:b/>
              </w:rPr>
              <w:t>Description of Method and Comments</w:t>
            </w:r>
          </w:p>
        </w:tc>
      </w:tr>
      <w:tr w:rsidR="00AE65B7" w:rsidRPr="00AE65B7" w:rsidTr="003F2A9C">
        <w:trPr>
          <w:trHeight w:val="241"/>
        </w:trPr>
        <w:tc>
          <w:tcPr>
            <w:tcW w:w="1069" w:type="dxa"/>
            <w:tcBorders>
              <w:left w:val="single" w:sz="12" w:space="0" w:color="auto"/>
              <w:bottom w:val="single" w:sz="4" w:space="0" w:color="auto"/>
            </w:tcBorders>
          </w:tcPr>
          <w:p w:rsidR="00AE65B7" w:rsidRPr="00AE65B7" w:rsidRDefault="00AE65B7" w:rsidP="00AE65B7">
            <w:pPr>
              <w:jc w:val="center"/>
            </w:pPr>
            <w:r w:rsidRPr="00AE65B7">
              <w:t>1-4</w:t>
            </w:r>
          </w:p>
        </w:tc>
        <w:tc>
          <w:tcPr>
            <w:tcW w:w="8290" w:type="dxa"/>
            <w:tcBorders>
              <w:bottom w:val="single" w:sz="4" w:space="0" w:color="auto"/>
              <w:right w:val="single" w:sz="12" w:space="0" w:color="auto"/>
            </w:tcBorders>
          </w:tcPr>
          <w:p w:rsidR="00AE65B7" w:rsidRPr="00AE65B7" w:rsidRDefault="00AE65B7" w:rsidP="00AE65B7">
            <w:r w:rsidRPr="00AE65B7">
              <w:t>Traverse Points, Velocity and Flow Rate, Gas Analysis, and Moisture Content</w:t>
            </w:r>
          </w:p>
        </w:tc>
      </w:tr>
      <w:tr w:rsidR="00AE65B7" w:rsidRPr="00AE65B7" w:rsidTr="003F2A9C">
        <w:trPr>
          <w:trHeight w:val="241"/>
        </w:trPr>
        <w:tc>
          <w:tcPr>
            <w:tcW w:w="1069" w:type="dxa"/>
            <w:tcBorders>
              <w:top w:val="single" w:sz="4" w:space="0" w:color="auto"/>
              <w:left w:val="single" w:sz="12" w:space="0" w:color="auto"/>
              <w:bottom w:val="single" w:sz="4" w:space="0" w:color="auto"/>
              <w:right w:val="single" w:sz="4" w:space="0" w:color="auto"/>
            </w:tcBorders>
            <w:vAlign w:val="center"/>
            <w:hideMark/>
          </w:tcPr>
          <w:p w:rsidR="00AE65B7" w:rsidRPr="00AE65B7" w:rsidRDefault="00AE65B7" w:rsidP="00AE65B7">
            <w:pPr>
              <w:jc w:val="center"/>
              <w:rPr>
                <w:szCs w:val="22"/>
              </w:rPr>
            </w:pPr>
            <w:r w:rsidRPr="00AE65B7">
              <w:rPr>
                <w:szCs w:val="22"/>
              </w:rPr>
              <w:t>7E</w:t>
            </w:r>
          </w:p>
        </w:tc>
        <w:tc>
          <w:tcPr>
            <w:tcW w:w="8290" w:type="dxa"/>
            <w:tcBorders>
              <w:top w:val="single" w:sz="4" w:space="0" w:color="auto"/>
              <w:left w:val="single" w:sz="4" w:space="0" w:color="auto"/>
              <w:bottom w:val="single" w:sz="4" w:space="0" w:color="auto"/>
              <w:right w:val="single" w:sz="12" w:space="0" w:color="auto"/>
            </w:tcBorders>
            <w:vAlign w:val="center"/>
            <w:hideMark/>
          </w:tcPr>
          <w:p w:rsidR="00AE65B7" w:rsidRPr="00AE65B7" w:rsidRDefault="00AE65B7" w:rsidP="00AE65B7">
            <w:pPr>
              <w:rPr>
                <w:szCs w:val="22"/>
              </w:rPr>
            </w:pPr>
            <w:r w:rsidRPr="00AE65B7">
              <w:rPr>
                <w:szCs w:val="22"/>
              </w:rPr>
              <w:t>Determination of Nitrogen Oxide Emissions from Stationary Sources</w:t>
            </w:r>
          </w:p>
        </w:tc>
      </w:tr>
      <w:tr w:rsidR="00AE65B7" w:rsidRPr="00AE65B7" w:rsidTr="003F2A9C">
        <w:trPr>
          <w:trHeight w:val="70"/>
        </w:trPr>
        <w:tc>
          <w:tcPr>
            <w:tcW w:w="1069" w:type="dxa"/>
            <w:tcBorders>
              <w:top w:val="single" w:sz="4" w:space="0" w:color="auto"/>
              <w:left w:val="single" w:sz="12" w:space="0" w:color="auto"/>
              <w:bottom w:val="single" w:sz="4" w:space="0" w:color="auto"/>
              <w:right w:val="single" w:sz="4" w:space="0" w:color="auto"/>
            </w:tcBorders>
            <w:vAlign w:val="center"/>
            <w:hideMark/>
          </w:tcPr>
          <w:p w:rsidR="00AE65B7" w:rsidRPr="00AE65B7" w:rsidRDefault="00AE65B7" w:rsidP="00AE65B7">
            <w:pPr>
              <w:jc w:val="center"/>
              <w:rPr>
                <w:szCs w:val="22"/>
              </w:rPr>
            </w:pPr>
            <w:r w:rsidRPr="00AE65B7">
              <w:rPr>
                <w:szCs w:val="22"/>
              </w:rPr>
              <w:t>9</w:t>
            </w:r>
          </w:p>
        </w:tc>
        <w:tc>
          <w:tcPr>
            <w:tcW w:w="8290" w:type="dxa"/>
            <w:tcBorders>
              <w:top w:val="single" w:sz="4" w:space="0" w:color="auto"/>
              <w:left w:val="single" w:sz="4" w:space="0" w:color="auto"/>
              <w:bottom w:val="single" w:sz="4" w:space="0" w:color="auto"/>
              <w:right w:val="single" w:sz="12" w:space="0" w:color="auto"/>
            </w:tcBorders>
            <w:vAlign w:val="center"/>
            <w:hideMark/>
          </w:tcPr>
          <w:p w:rsidR="00AE65B7" w:rsidRPr="00AE65B7" w:rsidRDefault="00AE65B7" w:rsidP="00AE65B7">
            <w:pPr>
              <w:rPr>
                <w:szCs w:val="22"/>
              </w:rPr>
            </w:pPr>
            <w:r w:rsidRPr="00AE65B7">
              <w:rPr>
                <w:szCs w:val="22"/>
              </w:rPr>
              <w:t>Visual Determination of the Opacity of Emissions from Stationary Sources</w:t>
            </w:r>
          </w:p>
        </w:tc>
      </w:tr>
      <w:tr w:rsidR="00AE65B7" w:rsidRPr="00AE65B7" w:rsidTr="003F2A9C">
        <w:trPr>
          <w:trHeight w:val="152"/>
        </w:trPr>
        <w:tc>
          <w:tcPr>
            <w:tcW w:w="1069" w:type="dxa"/>
            <w:tcBorders>
              <w:top w:val="single" w:sz="4" w:space="0" w:color="auto"/>
              <w:left w:val="single" w:sz="12" w:space="0" w:color="auto"/>
              <w:bottom w:val="single" w:sz="12" w:space="0" w:color="auto"/>
              <w:right w:val="single" w:sz="4" w:space="0" w:color="auto"/>
            </w:tcBorders>
            <w:vAlign w:val="center"/>
            <w:hideMark/>
          </w:tcPr>
          <w:p w:rsidR="00AE65B7" w:rsidRPr="00AE65B7" w:rsidRDefault="00AE65B7" w:rsidP="00AE65B7">
            <w:pPr>
              <w:jc w:val="center"/>
              <w:rPr>
                <w:szCs w:val="22"/>
              </w:rPr>
            </w:pPr>
            <w:r w:rsidRPr="00AE65B7">
              <w:rPr>
                <w:szCs w:val="22"/>
              </w:rPr>
              <w:t>10</w:t>
            </w:r>
          </w:p>
        </w:tc>
        <w:tc>
          <w:tcPr>
            <w:tcW w:w="8290" w:type="dxa"/>
            <w:tcBorders>
              <w:top w:val="single" w:sz="4" w:space="0" w:color="auto"/>
              <w:left w:val="single" w:sz="4" w:space="0" w:color="auto"/>
              <w:bottom w:val="single" w:sz="12" w:space="0" w:color="auto"/>
              <w:right w:val="single" w:sz="12" w:space="0" w:color="auto"/>
            </w:tcBorders>
            <w:vAlign w:val="center"/>
            <w:hideMark/>
          </w:tcPr>
          <w:p w:rsidR="00AE65B7" w:rsidRPr="00AE65B7" w:rsidRDefault="00AE65B7" w:rsidP="00AE65B7">
            <w:pPr>
              <w:rPr>
                <w:szCs w:val="22"/>
              </w:rPr>
            </w:pPr>
            <w:r w:rsidRPr="00AE65B7">
              <w:rPr>
                <w:szCs w:val="22"/>
              </w:rPr>
              <w:t>Determination of Carbon Monoxide Emissions from Stationary Sources</w:t>
            </w:r>
          </w:p>
          <w:p w:rsidR="00AE65B7" w:rsidRPr="00AE65B7" w:rsidRDefault="00AE65B7" w:rsidP="00AE65B7">
            <w:pPr>
              <w:rPr>
                <w:szCs w:val="22"/>
              </w:rPr>
            </w:pPr>
            <w:r w:rsidRPr="00AE65B7">
              <w:rPr>
                <w:szCs w:val="22"/>
              </w:rPr>
              <w:t>{Note:  The method shall be based on a continuous sampling train.}</w:t>
            </w:r>
          </w:p>
        </w:tc>
      </w:tr>
    </w:tbl>
    <w:p w:rsidR="008778A3" w:rsidRDefault="008778A3" w:rsidP="008778A3">
      <w:pPr>
        <w:tabs>
          <w:tab w:val="left" w:pos="0"/>
        </w:tabs>
        <w:spacing w:before="120" w:after="120"/>
        <w:ind w:left="360"/>
        <w:rPr>
          <w:b/>
          <w:caps/>
          <w:sz w:val="22"/>
          <w:szCs w:val="22"/>
        </w:rPr>
      </w:pPr>
      <w:r w:rsidRPr="00845DA5">
        <w:rPr>
          <w:sz w:val="22"/>
          <w:szCs w:val="22"/>
        </w:rPr>
        <w:t xml:space="preserve">The above methods are described in Appendix A </w:t>
      </w:r>
      <w:r>
        <w:rPr>
          <w:sz w:val="22"/>
          <w:szCs w:val="22"/>
        </w:rPr>
        <w:t xml:space="preserve">of </w:t>
      </w:r>
      <w:r w:rsidRPr="00845DA5">
        <w:rPr>
          <w:sz w:val="22"/>
          <w:szCs w:val="22"/>
        </w:rPr>
        <w:t xml:space="preserve">40 CFR 60 and </w:t>
      </w:r>
      <w:r>
        <w:rPr>
          <w:sz w:val="22"/>
          <w:szCs w:val="22"/>
        </w:rPr>
        <w:t xml:space="preserve">are </w:t>
      </w:r>
      <w:r w:rsidRPr="00845DA5">
        <w:rPr>
          <w:sz w:val="22"/>
          <w:szCs w:val="22"/>
        </w:rPr>
        <w:t>adopted by reference in Rule 62-204.800, F.A.C.</w:t>
      </w:r>
      <w:r>
        <w:rPr>
          <w:sz w:val="22"/>
          <w:szCs w:val="22"/>
        </w:rPr>
        <w:t xml:space="preserve">  No other methods may be used unless prior written approval is received from the Department.  [Rule</w:t>
      </w:r>
      <w:r w:rsidRPr="00845DA5">
        <w:rPr>
          <w:sz w:val="22"/>
          <w:szCs w:val="22"/>
        </w:rPr>
        <w:t xml:space="preserve"> 62-204.800, F.A.C.; </w:t>
      </w:r>
      <w:r>
        <w:rPr>
          <w:sz w:val="22"/>
          <w:szCs w:val="22"/>
        </w:rPr>
        <w:t xml:space="preserve">and Appendix A of </w:t>
      </w:r>
      <w:r w:rsidRPr="00845DA5">
        <w:rPr>
          <w:sz w:val="22"/>
          <w:szCs w:val="22"/>
        </w:rPr>
        <w:t>40 CFR 60]</w:t>
      </w:r>
    </w:p>
    <w:p w:rsidR="00AE65B7" w:rsidRPr="00AE65B7" w:rsidRDefault="00AE65B7" w:rsidP="00AE65B7">
      <w:pPr>
        <w:tabs>
          <w:tab w:val="left" w:pos="0"/>
        </w:tabs>
        <w:spacing w:before="120" w:after="120"/>
        <w:ind w:left="360" w:hanging="360"/>
        <w:rPr>
          <w:b/>
          <w:caps/>
          <w:sz w:val="22"/>
          <w:szCs w:val="22"/>
        </w:rPr>
      </w:pPr>
      <w:r w:rsidRPr="00AE65B7">
        <w:rPr>
          <w:b/>
          <w:caps/>
          <w:sz w:val="22"/>
          <w:szCs w:val="22"/>
        </w:rPr>
        <w:t>Notification, Reporting and Records</w:t>
      </w:r>
    </w:p>
    <w:p w:rsidR="00AE65B7" w:rsidRPr="00AE65B7" w:rsidRDefault="002A4C3E" w:rsidP="0022643A">
      <w:pPr>
        <w:numPr>
          <w:ilvl w:val="0"/>
          <w:numId w:val="29"/>
        </w:numPr>
        <w:tabs>
          <w:tab w:val="left" w:pos="1440"/>
          <w:tab w:val="left" w:pos="1800"/>
          <w:tab w:val="left" w:pos="2160"/>
        </w:tabs>
        <w:spacing w:before="120" w:after="120"/>
      </w:pPr>
      <w:r>
        <w:rPr>
          <w:sz w:val="22"/>
          <w:szCs w:val="22"/>
          <w:u w:val="single"/>
        </w:rPr>
        <w:t>Fuel Sulfur</w:t>
      </w:r>
      <w:r w:rsidR="00AE65B7" w:rsidRPr="00AE65B7">
        <w:rPr>
          <w:sz w:val="22"/>
          <w:szCs w:val="22"/>
          <w:u w:val="single"/>
        </w:rPr>
        <w:t xml:space="preserve"> Records</w:t>
      </w:r>
      <w:r w:rsidR="00AE65B7" w:rsidRPr="00AE65B7">
        <w:rPr>
          <w:sz w:val="22"/>
          <w:szCs w:val="22"/>
        </w:rPr>
        <w:t xml:space="preserve">:  </w:t>
      </w:r>
      <w:r w:rsidR="00AE65B7" w:rsidRPr="00AE65B7">
        <w:rPr>
          <w:sz w:val="22"/>
        </w:rPr>
        <w:t xml:space="preserve">The permittee shall maintain records of the sulfur content of the natural gas used in the auxiliary boiler.  These records shall be submitted to the Compliance </w:t>
      </w:r>
      <w:r w:rsidR="00AE65B7" w:rsidRPr="00DE676C">
        <w:rPr>
          <w:sz w:val="22"/>
        </w:rPr>
        <w:t>Authority on an annual basis and upon</w:t>
      </w:r>
      <w:r w:rsidR="00AE65B7" w:rsidRPr="00AE65B7">
        <w:rPr>
          <w:sz w:val="22"/>
        </w:rPr>
        <w:t xml:space="preserve"> request.  [Rule</w:t>
      </w:r>
      <w:r w:rsidR="0022643A">
        <w:rPr>
          <w:sz w:val="22"/>
        </w:rPr>
        <w:t>s</w:t>
      </w:r>
      <w:r w:rsidR="00AE65B7" w:rsidRPr="00AE65B7">
        <w:rPr>
          <w:sz w:val="22"/>
        </w:rPr>
        <w:t xml:space="preserve"> 62-4.070(3)</w:t>
      </w:r>
      <w:r w:rsidR="0022643A">
        <w:rPr>
          <w:sz w:val="22"/>
        </w:rPr>
        <w:t xml:space="preserve"> and </w:t>
      </w:r>
      <w:r w:rsidR="0022643A" w:rsidRPr="0022643A">
        <w:rPr>
          <w:sz w:val="22"/>
        </w:rPr>
        <w:t>62-212.400(BACT), F.A.C.</w:t>
      </w:r>
      <w:r w:rsidR="00AE65B7" w:rsidRPr="00AE65B7">
        <w:rPr>
          <w:sz w:val="22"/>
        </w:rPr>
        <w:t>]</w:t>
      </w:r>
    </w:p>
    <w:p w:rsidR="00E21BEA" w:rsidRPr="00E21BEA" w:rsidRDefault="00AE65B7" w:rsidP="00593180">
      <w:pPr>
        <w:numPr>
          <w:ilvl w:val="0"/>
          <w:numId w:val="29"/>
        </w:numPr>
        <w:tabs>
          <w:tab w:val="left" w:pos="360"/>
          <w:tab w:val="num" w:pos="1080"/>
          <w:tab w:val="left" w:pos="1440"/>
          <w:tab w:val="left" w:pos="1800"/>
          <w:tab w:val="left" w:pos="2160"/>
        </w:tabs>
        <w:spacing w:before="120" w:after="120"/>
        <w:rPr>
          <w:sz w:val="22"/>
          <w:szCs w:val="22"/>
        </w:rPr>
      </w:pPr>
      <w:r w:rsidRPr="00593180">
        <w:rPr>
          <w:sz w:val="22"/>
          <w:szCs w:val="22"/>
          <w:u w:val="single"/>
        </w:rPr>
        <w:t>Notification</w:t>
      </w:r>
      <w:r w:rsidRPr="00AE65B7">
        <w:rPr>
          <w:sz w:val="22"/>
        </w:rPr>
        <w:t>:  Initial notification is required for the</w:t>
      </w:r>
      <w:r w:rsidRPr="00AE65B7">
        <w:rPr>
          <w:sz w:val="22"/>
          <w:szCs w:val="22"/>
        </w:rPr>
        <w:t xml:space="preserve"> auxiliary boiler.  [Rule 62-204.800(8)(b) F.A.C.; and 40 CFR 60.7 &amp; 60.48c]</w:t>
      </w:r>
    </w:p>
    <w:p w:rsidR="00E21BEA" w:rsidRPr="00E21BEA" w:rsidRDefault="00E21BEA" w:rsidP="00E21BEA">
      <w:pPr>
        <w:rPr>
          <w:sz w:val="22"/>
          <w:szCs w:val="22"/>
        </w:rPr>
      </w:pPr>
    </w:p>
    <w:p w:rsidR="00C75438" w:rsidRDefault="00C75438" w:rsidP="00E21BEA">
      <w:pPr>
        <w:rPr>
          <w:sz w:val="22"/>
          <w:szCs w:val="22"/>
        </w:rPr>
        <w:sectPr w:rsidR="00C75438" w:rsidSect="009C1FD0">
          <w:headerReference w:type="even" r:id="rId35"/>
          <w:headerReference w:type="default" r:id="rId36"/>
          <w:headerReference w:type="first" r:id="rId37"/>
          <w:pgSz w:w="12240" w:h="15840" w:code="1"/>
          <w:pgMar w:top="720" w:right="1080" w:bottom="720" w:left="1080" w:header="720" w:footer="720" w:gutter="0"/>
          <w:paperSrc w:first="15" w:other="15"/>
          <w:cols w:space="720"/>
        </w:sectPr>
      </w:pPr>
    </w:p>
    <w:p w:rsidR="00EF1200" w:rsidRPr="00EF1200" w:rsidRDefault="00EF1200" w:rsidP="00EF1200">
      <w:pPr>
        <w:suppressAutoHyphens/>
        <w:spacing w:after="120"/>
        <w:rPr>
          <w:sz w:val="22"/>
        </w:rPr>
      </w:pPr>
      <w:r w:rsidRPr="00EF1200">
        <w:rPr>
          <w:sz w:val="22"/>
        </w:rPr>
        <w:lastRenderedPageBreak/>
        <w:t>This section of the permit addresses the following emissions unit.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EF1200" w:rsidRPr="00EF1200" w:rsidTr="003F2A9C">
        <w:tc>
          <w:tcPr>
            <w:tcW w:w="794" w:type="dxa"/>
            <w:tcBorders>
              <w:top w:val="single" w:sz="12" w:space="0" w:color="auto"/>
              <w:bottom w:val="single" w:sz="12" w:space="0" w:color="auto"/>
              <w:right w:val="single" w:sz="12" w:space="0" w:color="auto"/>
            </w:tcBorders>
            <w:shd w:val="clear" w:color="auto" w:fill="B8CCE4"/>
          </w:tcPr>
          <w:p w:rsidR="00EF1200" w:rsidRPr="00EF1200" w:rsidRDefault="002F5DCD" w:rsidP="00EF1200">
            <w:pPr>
              <w:jc w:val="center"/>
              <w:rPr>
                <w:b/>
              </w:rPr>
            </w:pPr>
            <w:bookmarkStart w:id="47" w:name="_Hlk493059153"/>
            <w:r>
              <w:rPr>
                <w:b/>
              </w:rPr>
              <w:t>EU</w:t>
            </w:r>
            <w:r w:rsidR="00EF1200" w:rsidRPr="00EF1200">
              <w:rPr>
                <w:b/>
              </w:rPr>
              <w:t xml:space="preserve"> No.</w:t>
            </w:r>
          </w:p>
        </w:tc>
        <w:tc>
          <w:tcPr>
            <w:tcW w:w="9360" w:type="dxa"/>
            <w:tcBorders>
              <w:top w:val="single" w:sz="12" w:space="0" w:color="auto"/>
              <w:left w:val="single" w:sz="12" w:space="0" w:color="auto"/>
              <w:bottom w:val="single" w:sz="12" w:space="0" w:color="auto"/>
            </w:tcBorders>
            <w:shd w:val="clear" w:color="auto" w:fill="B8CCE4"/>
          </w:tcPr>
          <w:p w:rsidR="00EF1200" w:rsidRPr="00EF1200" w:rsidRDefault="00EF1200" w:rsidP="00EF1200">
            <w:r w:rsidRPr="00EF1200">
              <w:rPr>
                <w:b/>
              </w:rPr>
              <w:t>Emission Unit Description</w:t>
            </w:r>
          </w:p>
        </w:tc>
      </w:tr>
      <w:tr w:rsidR="00EF1200" w:rsidRPr="00EF1200" w:rsidTr="003F2A9C">
        <w:tc>
          <w:tcPr>
            <w:tcW w:w="794" w:type="dxa"/>
            <w:tcBorders>
              <w:top w:val="single" w:sz="8" w:space="0" w:color="auto"/>
              <w:bottom w:val="single" w:sz="12" w:space="0" w:color="auto"/>
              <w:right w:val="single" w:sz="12" w:space="0" w:color="auto"/>
            </w:tcBorders>
            <w:vAlign w:val="center"/>
          </w:tcPr>
          <w:p w:rsidR="00EF1200" w:rsidRPr="00175276" w:rsidRDefault="001D1F12" w:rsidP="00EF1200">
            <w:pPr>
              <w:jc w:val="center"/>
              <w:rPr>
                <w:b/>
                <w:highlight w:val="yellow"/>
              </w:rPr>
            </w:pPr>
            <w:r>
              <w:rPr>
                <w:b/>
              </w:rPr>
              <w:t>003</w:t>
            </w:r>
          </w:p>
        </w:tc>
        <w:tc>
          <w:tcPr>
            <w:tcW w:w="9360" w:type="dxa"/>
            <w:tcBorders>
              <w:top w:val="single" w:sz="8" w:space="0" w:color="auto"/>
              <w:left w:val="single" w:sz="12" w:space="0" w:color="auto"/>
              <w:bottom w:val="single" w:sz="12" w:space="0" w:color="auto"/>
            </w:tcBorders>
          </w:tcPr>
          <w:p w:rsidR="00EF1200" w:rsidRPr="00EF1200" w:rsidRDefault="00EF1200" w:rsidP="00EF1200">
            <w:r w:rsidRPr="00EF1200">
              <w:t>Emergency</w:t>
            </w:r>
            <w:r>
              <w:t xml:space="preserve"> Diesel</w:t>
            </w:r>
            <w:r w:rsidRPr="00EF1200">
              <w:t xml:space="preserve"> Generator</w:t>
            </w:r>
            <w:r w:rsidR="00F90BF9">
              <w:t xml:space="preserve"> </w:t>
            </w:r>
            <w:r w:rsidR="00F90BF9" w:rsidRPr="00F90BF9">
              <w:t>(1,500 kW)</w:t>
            </w:r>
          </w:p>
        </w:tc>
      </w:tr>
    </w:tbl>
    <w:bookmarkEnd w:id="47"/>
    <w:p w:rsidR="00EF1200" w:rsidRPr="00EF1200" w:rsidRDefault="00EF1200" w:rsidP="00EF1200">
      <w:pPr>
        <w:spacing w:before="120" w:after="120"/>
        <w:rPr>
          <w:b/>
          <w:caps/>
          <w:sz w:val="22"/>
        </w:rPr>
      </w:pPr>
      <w:r w:rsidRPr="00EF1200">
        <w:rPr>
          <w:b/>
          <w:caps/>
          <w:sz w:val="22"/>
          <w:szCs w:val="22"/>
        </w:rPr>
        <w:t>NSPS AND NESHAP Applicability</w:t>
      </w:r>
    </w:p>
    <w:p w:rsidR="00EF1200" w:rsidRPr="00EF1200" w:rsidRDefault="00EF1200" w:rsidP="00EF1200">
      <w:pPr>
        <w:numPr>
          <w:ilvl w:val="0"/>
          <w:numId w:val="30"/>
        </w:numPr>
        <w:tabs>
          <w:tab w:val="left" w:pos="360"/>
          <w:tab w:val="left" w:pos="1440"/>
          <w:tab w:val="left" w:pos="1800"/>
          <w:tab w:val="left" w:pos="2160"/>
        </w:tabs>
        <w:spacing w:after="60"/>
        <w:ind w:left="360"/>
        <w:rPr>
          <w:sz w:val="22"/>
        </w:rPr>
      </w:pPr>
      <w:r w:rsidRPr="00EF1200">
        <w:rPr>
          <w:sz w:val="22"/>
          <w:u w:val="single"/>
        </w:rPr>
        <w:t>NSPS, Subpart IIII Applicability</w:t>
      </w:r>
      <w:r w:rsidRPr="00EF1200">
        <w:rPr>
          <w:sz w:val="22"/>
        </w:rPr>
        <w:t>:  The emergency generator</w:t>
      </w:r>
      <w:r w:rsidR="009310D9">
        <w:rPr>
          <w:sz w:val="22"/>
        </w:rPr>
        <w:t xml:space="preserve"> is a </w:t>
      </w:r>
      <w:r w:rsidRPr="00EF1200">
        <w:rPr>
          <w:sz w:val="22"/>
        </w:rPr>
        <w:t>Stationary Compression Igni</w:t>
      </w:r>
      <w:r w:rsidR="009310D9">
        <w:rPr>
          <w:sz w:val="22"/>
        </w:rPr>
        <w:t>tion Internal Combustion Engine</w:t>
      </w:r>
      <w:r w:rsidRPr="00EF1200">
        <w:rPr>
          <w:sz w:val="22"/>
        </w:rPr>
        <w:t xml:space="preserve"> (Stationary ICE) and </w:t>
      </w:r>
      <w:r w:rsidR="009310D9">
        <w:rPr>
          <w:sz w:val="22"/>
        </w:rPr>
        <w:t>is</w:t>
      </w:r>
      <w:r w:rsidRPr="00EF1200">
        <w:rPr>
          <w:sz w:val="22"/>
        </w:rPr>
        <w:t xml:space="preserve"> subject to 40 CFR 60, Subpart IIII.  The applicant shall comply with 40 CFR 60, Subpart IIII only to the extent that the regulations apply to the emission unit and its operations (e.g. non-road, emergency, displacement, capacity and model year selected).</w:t>
      </w:r>
    </w:p>
    <w:p w:rsidR="00EF1200" w:rsidRPr="00EF1200" w:rsidRDefault="00EF1200" w:rsidP="00EF1200">
      <w:pPr>
        <w:tabs>
          <w:tab w:val="left" w:pos="360"/>
          <w:tab w:val="left" w:pos="1440"/>
          <w:tab w:val="left" w:pos="1800"/>
          <w:tab w:val="left" w:pos="2160"/>
        </w:tabs>
        <w:spacing w:after="120"/>
        <w:ind w:left="360"/>
        <w:rPr>
          <w:sz w:val="22"/>
        </w:rPr>
      </w:pPr>
      <w:r w:rsidRPr="00EF1200">
        <w:rPr>
          <w:sz w:val="22"/>
        </w:rPr>
        <w:t>[</w:t>
      </w:r>
      <w:r w:rsidR="000739C6" w:rsidRPr="00EF1200">
        <w:rPr>
          <w:sz w:val="22"/>
        </w:rPr>
        <w:t>Rule 62-204.800(8)(b)80., F.A.C.</w:t>
      </w:r>
      <w:r w:rsidR="000739C6">
        <w:rPr>
          <w:sz w:val="22"/>
        </w:rPr>
        <w:t xml:space="preserve">; and </w:t>
      </w:r>
      <w:r w:rsidRPr="00EF1200">
        <w:rPr>
          <w:sz w:val="22"/>
        </w:rPr>
        <w:t>40 CFR 60, Subpart IIII - Standards of Performance for Stationary Compression Ignition Internal Combustion Engines]</w:t>
      </w:r>
    </w:p>
    <w:p w:rsidR="00EF1200" w:rsidRPr="00EF1200" w:rsidRDefault="00EF1200" w:rsidP="00EF1200">
      <w:pPr>
        <w:numPr>
          <w:ilvl w:val="0"/>
          <w:numId w:val="30"/>
        </w:numPr>
        <w:tabs>
          <w:tab w:val="left" w:pos="360"/>
          <w:tab w:val="left" w:pos="1440"/>
          <w:tab w:val="left" w:pos="1800"/>
          <w:tab w:val="left" w:pos="2160"/>
        </w:tabs>
        <w:spacing w:after="60"/>
        <w:ind w:left="360"/>
        <w:rPr>
          <w:sz w:val="22"/>
          <w:szCs w:val="22"/>
        </w:rPr>
      </w:pPr>
      <w:r w:rsidRPr="00EF1200">
        <w:rPr>
          <w:sz w:val="22"/>
          <w:u w:val="single"/>
        </w:rPr>
        <w:t>NESHAP, Subpart ZZZZ Applicability</w:t>
      </w:r>
      <w:r w:rsidRPr="00EF1200">
        <w:rPr>
          <w:sz w:val="22"/>
        </w:rPr>
        <w:t xml:space="preserve">:  The emergency generator </w:t>
      </w:r>
      <w:r w:rsidR="001F6280">
        <w:rPr>
          <w:sz w:val="22"/>
        </w:rPr>
        <w:t>is a</w:t>
      </w:r>
      <w:r w:rsidRPr="00EF1200">
        <w:rPr>
          <w:sz w:val="22"/>
        </w:rPr>
        <w:t xml:space="preserve"> Stationary Reciprocating Internal Combustion </w:t>
      </w:r>
      <w:r w:rsidR="003C2940">
        <w:rPr>
          <w:sz w:val="22"/>
        </w:rPr>
        <w:t>E</w:t>
      </w:r>
      <w:r w:rsidRPr="00EF1200">
        <w:rPr>
          <w:sz w:val="22"/>
        </w:rPr>
        <w:t>ngine</w:t>
      </w:r>
      <w:r w:rsidR="003C2940">
        <w:rPr>
          <w:sz w:val="22"/>
        </w:rPr>
        <w:t xml:space="preserve"> (RICE)</w:t>
      </w:r>
      <w:r w:rsidRPr="00EF1200">
        <w:rPr>
          <w:sz w:val="22"/>
        </w:rPr>
        <w:t xml:space="preserve"> located at an area source of hazardous air pollutants emissions and </w:t>
      </w:r>
      <w:r w:rsidR="003C2940">
        <w:rPr>
          <w:sz w:val="22"/>
        </w:rPr>
        <w:t>is</w:t>
      </w:r>
      <w:r w:rsidRPr="00EF1200">
        <w:rPr>
          <w:sz w:val="22"/>
        </w:rPr>
        <w:t xml:space="preserve"> subject to 40 CFR 63, Subpart ZZZZ.  Because the emergency generator</w:t>
      </w:r>
      <w:r w:rsidR="003C2940">
        <w:rPr>
          <w:sz w:val="22"/>
        </w:rPr>
        <w:t xml:space="preserve"> is</w:t>
      </w:r>
      <w:r w:rsidRPr="00EF1200">
        <w:rPr>
          <w:sz w:val="22"/>
        </w:rPr>
        <w:t xml:space="preserve"> subject to regulation under 40 CFR 60, Subpart IIII, Subpart ZZZZ only requires that the emergency generator meet the requirements of 40 CFR 60, Subpart IIII.  No further requirements of Subpart ZZZZ appl</w:t>
      </w:r>
      <w:r w:rsidR="00FB69A4">
        <w:rPr>
          <w:sz w:val="22"/>
        </w:rPr>
        <w:t>y to the emergency generator</w:t>
      </w:r>
      <w:r w:rsidRPr="00EF1200">
        <w:rPr>
          <w:sz w:val="22"/>
        </w:rPr>
        <w:t>.</w:t>
      </w:r>
    </w:p>
    <w:p w:rsidR="00EF1200" w:rsidRPr="00EF1200" w:rsidRDefault="00EF1200" w:rsidP="00EF1200">
      <w:pPr>
        <w:tabs>
          <w:tab w:val="left" w:pos="360"/>
          <w:tab w:val="left" w:pos="1440"/>
          <w:tab w:val="left" w:pos="1800"/>
          <w:tab w:val="left" w:pos="2160"/>
        </w:tabs>
        <w:spacing w:after="120"/>
        <w:ind w:left="360"/>
        <w:rPr>
          <w:sz w:val="22"/>
          <w:szCs w:val="22"/>
        </w:rPr>
      </w:pPr>
      <w:r w:rsidRPr="00EF1200">
        <w:rPr>
          <w:sz w:val="22"/>
          <w:szCs w:val="22"/>
        </w:rPr>
        <w:t>[</w:t>
      </w:r>
      <w:r w:rsidR="000739C6" w:rsidRPr="00EF1200">
        <w:rPr>
          <w:sz w:val="22"/>
          <w:szCs w:val="22"/>
        </w:rPr>
        <w:t>Rule 62-204.800(</w:t>
      </w:r>
      <w:proofErr w:type="gramStart"/>
      <w:r w:rsidR="000739C6" w:rsidRPr="00EF1200">
        <w:rPr>
          <w:sz w:val="22"/>
          <w:szCs w:val="22"/>
        </w:rPr>
        <w:t>11)(</w:t>
      </w:r>
      <w:proofErr w:type="gramEnd"/>
      <w:r w:rsidR="000739C6" w:rsidRPr="00EF1200">
        <w:rPr>
          <w:sz w:val="22"/>
          <w:szCs w:val="22"/>
        </w:rPr>
        <w:t>b)82., F.A.C.</w:t>
      </w:r>
      <w:r w:rsidR="000739C6">
        <w:rPr>
          <w:sz w:val="22"/>
          <w:szCs w:val="22"/>
        </w:rPr>
        <w:t xml:space="preserve">; and </w:t>
      </w:r>
      <w:r w:rsidRPr="00EF1200">
        <w:rPr>
          <w:sz w:val="22"/>
          <w:szCs w:val="22"/>
        </w:rPr>
        <w:t>40 CFR 63, Subpart ZZZZ - National Emissions Standards for Hazardous Air Pollutants for Stationary Reciprocating Internal Combustion Engines]</w:t>
      </w:r>
    </w:p>
    <w:p w:rsidR="00EF1200" w:rsidRPr="00EF1200" w:rsidRDefault="00EF1200" w:rsidP="00EF1200">
      <w:pPr>
        <w:spacing w:after="120"/>
        <w:rPr>
          <w:b/>
          <w:caps/>
          <w:sz w:val="22"/>
        </w:rPr>
      </w:pPr>
      <w:r w:rsidRPr="00EF1200">
        <w:rPr>
          <w:b/>
          <w:caps/>
          <w:sz w:val="22"/>
        </w:rPr>
        <w:t>Equipment Specifications</w:t>
      </w:r>
    </w:p>
    <w:p w:rsidR="00EF1200" w:rsidRPr="00EF1200" w:rsidRDefault="00EF1200" w:rsidP="00EF1200">
      <w:pPr>
        <w:numPr>
          <w:ilvl w:val="0"/>
          <w:numId w:val="30"/>
        </w:numPr>
        <w:tabs>
          <w:tab w:val="clear" w:pos="1080"/>
          <w:tab w:val="num" w:pos="1170"/>
          <w:tab w:val="left" w:pos="1440"/>
          <w:tab w:val="left" w:pos="1800"/>
          <w:tab w:val="left" w:pos="2160"/>
        </w:tabs>
        <w:spacing w:after="120"/>
        <w:ind w:left="360"/>
        <w:rPr>
          <w:sz w:val="22"/>
        </w:rPr>
      </w:pPr>
      <w:r w:rsidRPr="00EF1200">
        <w:rPr>
          <w:sz w:val="22"/>
          <w:u w:val="single"/>
        </w:rPr>
        <w:t>Equipment</w:t>
      </w:r>
      <w:r w:rsidRPr="00EF1200">
        <w:rPr>
          <w:sz w:val="22"/>
        </w:rPr>
        <w:t xml:space="preserve">:  The permittee is authorized to install, operate, and maintain </w:t>
      </w:r>
      <w:r w:rsidR="00D3003D">
        <w:rPr>
          <w:sz w:val="22"/>
        </w:rPr>
        <w:t>one nominal 1,5</w:t>
      </w:r>
      <w:r w:rsidRPr="00EF1200">
        <w:rPr>
          <w:sz w:val="22"/>
        </w:rPr>
        <w:t xml:space="preserve">00 kW </w:t>
      </w:r>
      <w:r w:rsidR="00B32389">
        <w:rPr>
          <w:sz w:val="22"/>
        </w:rPr>
        <w:t>diesel</w:t>
      </w:r>
      <w:r w:rsidRPr="00EF1200">
        <w:rPr>
          <w:sz w:val="22"/>
        </w:rPr>
        <w:t xml:space="preserve"> emergency generator.  [Rule 62-210.200(PTE), F.A.C.; and Application No. </w:t>
      </w:r>
      <w:r w:rsidR="00B519E0">
        <w:rPr>
          <w:sz w:val="22"/>
        </w:rPr>
        <w:t>1010524</w:t>
      </w:r>
      <w:r w:rsidRPr="00EF1200">
        <w:rPr>
          <w:sz w:val="22"/>
        </w:rPr>
        <w:t>-</w:t>
      </w:r>
      <w:r w:rsidR="00B519E0">
        <w:rPr>
          <w:sz w:val="22"/>
        </w:rPr>
        <w:t>001</w:t>
      </w:r>
      <w:r w:rsidRPr="00EF1200">
        <w:rPr>
          <w:sz w:val="22"/>
        </w:rPr>
        <w:t>-AC]</w:t>
      </w:r>
    </w:p>
    <w:p w:rsidR="00EF1200" w:rsidRPr="00EF1200" w:rsidRDefault="00EF1200" w:rsidP="00EF1200">
      <w:pPr>
        <w:spacing w:after="120"/>
        <w:rPr>
          <w:b/>
          <w:caps/>
          <w:sz w:val="22"/>
        </w:rPr>
      </w:pPr>
      <w:r w:rsidRPr="00EF1200">
        <w:rPr>
          <w:b/>
          <w:caps/>
          <w:sz w:val="22"/>
        </w:rPr>
        <w:t>Emissions and Performance Requirements</w:t>
      </w:r>
    </w:p>
    <w:p w:rsidR="00EF1200" w:rsidRPr="00EF1200" w:rsidRDefault="00EF1200" w:rsidP="00962A0C">
      <w:pPr>
        <w:numPr>
          <w:ilvl w:val="0"/>
          <w:numId w:val="30"/>
        </w:numPr>
        <w:tabs>
          <w:tab w:val="clear" w:pos="1080"/>
          <w:tab w:val="num" w:pos="1170"/>
          <w:tab w:val="left" w:pos="1440"/>
          <w:tab w:val="left" w:pos="1800"/>
          <w:tab w:val="left" w:pos="2160"/>
        </w:tabs>
        <w:spacing w:after="120"/>
        <w:ind w:left="360"/>
        <w:rPr>
          <w:sz w:val="22"/>
        </w:rPr>
      </w:pPr>
      <w:r w:rsidRPr="00EF1200">
        <w:rPr>
          <w:sz w:val="22"/>
          <w:u w:val="single"/>
        </w:rPr>
        <w:t>Fuel Specifications:</w:t>
      </w:r>
      <w:r w:rsidRPr="00EF1200">
        <w:rPr>
          <w:sz w:val="22"/>
        </w:rPr>
        <w:t xml:space="preserve">  The generator shall burn ULSD fuel oil with a sulfur content of 15 ppm (0.0015%) by weight or less.  The fuel must have a minimum cetane index of 40 or must have a maximum aromatic content of 35 volume percent.</w:t>
      </w:r>
      <w:r w:rsidRPr="00EF1200">
        <w:rPr>
          <w:sz w:val="22"/>
        </w:rPr>
        <w:br/>
        <w:t>[</w:t>
      </w:r>
      <w:r w:rsidR="002E40FD">
        <w:rPr>
          <w:sz w:val="22"/>
          <w:szCs w:val="22"/>
        </w:rPr>
        <w:t>Rules 62-210.200 (PTE) and 62-212.400(BACT), F.A.C.</w:t>
      </w:r>
      <w:r w:rsidRPr="00EF1200">
        <w:rPr>
          <w:sz w:val="22"/>
        </w:rPr>
        <w:t xml:space="preserve">; </w:t>
      </w:r>
      <w:r w:rsidR="00962A0C">
        <w:rPr>
          <w:sz w:val="22"/>
        </w:rPr>
        <w:t>40 CFR 60.4207(b) &amp;</w:t>
      </w:r>
      <w:r w:rsidR="00962A0C" w:rsidRPr="00962A0C">
        <w:rPr>
          <w:sz w:val="22"/>
        </w:rPr>
        <w:t xml:space="preserve"> 80.510(b)</w:t>
      </w:r>
      <w:r w:rsidRPr="00EF1200">
        <w:rPr>
          <w:sz w:val="22"/>
        </w:rPr>
        <w:t xml:space="preserve">; and Application No. </w:t>
      </w:r>
      <w:r w:rsidR="00B519E0">
        <w:rPr>
          <w:sz w:val="22"/>
        </w:rPr>
        <w:t>1010524</w:t>
      </w:r>
      <w:r w:rsidR="00DC13DF" w:rsidRPr="00DC13DF">
        <w:rPr>
          <w:sz w:val="22"/>
        </w:rPr>
        <w:t>-</w:t>
      </w:r>
      <w:r w:rsidR="00B519E0">
        <w:rPr>
          <w:sz w:val="22"/>
        </w:rPr>
        <w:t>001</w:t>
      </w:r>
      <w:r w:rsidR="00DC13DF" w:rsidRPr="00DC13DF">
        <w:rPr>
          <w:sz w:val="22"/>
        </w:rPr>
        <w:t>-AC</w:t>
      </w:r>
      <w:r w:rsidRPr="00EF1200">
        <w:rPr>
          <w:sz w:val="22"/>
        </w:rPr>
        <w:t>]</w:t>
      </w:r>
    </w:p>
    <w:p w:rsidR="00EF1200" w:rsidRPr="00EF1200" w:rsidRDefault="00EF1200" w:rsidP="00EF1200">
      <w:pPr>
        <w:numPr>
          <w:ilvl w:val="0"/>
          <w:numId w:val="30"/>
        </w:numPr>
        <w:ind w:left="360"/>
        <w:rPr>
          <w:rFonts w:eastAsia="Calibri"/>
          <w:sz w:val="22"/>
          <w:szCs w:val="22"/>
        </w:rPr>
      </w:pPr>
      <w:r w:rsidRPr="00EF1200">
        <w:rPr>
          <w:sz w:val="22"/>
          <w:u w:val="single"/>
        </w:rPr>
        <w:t>Restricted Operation</w:t>
      </w:r>
      <w:r w:rsidRPr="00EF1200">
        <w:rPr>
          <w:sz w:val="22"/>
        </w:rPr>
        <w:t>:</w:t>
      </w:r>
      <w:bookmarkStart w:id="48" w:name="_Ref434327804"/>
    </w:p>
    <w:p w:rsidR="00EF1200" w:rsidRPr="00EF1200" w:rsidRDefault="00EF1200" w:rsidP="00EF1200">
      <w:pPr>
        <w:numPr>
          <w:ilvl w:val="1"/>
          <w:numId w:val="32"/>
        </w:numPr>
        <w:spacing w:before="60" w:after="60"/>
        <w:ind w:left="720"/>
        <w:rPr>
          <w:rFonts w:eastAsia="Calibri"/>
          <w:sz w:val="22"/>
          <w:szCs w:val="22"/>
        </w:rPr>
      </w:pPr>
      <w:r w:rsidRPr="00EF1200">
        <w:rPr>
          <w:rFonts w:eastAsia="Calibri"/>
          <w:i/>
          <w:iCs/>
          <w:sz w:val="22"/>
          <w:szCs w:val="22"/>
        </w:rPr>
        <w:t>Emergency Situations</w:t>
      </w:r>
      <w:r w:rsidRPr="00EF1200">
        <w:rPr>
          <w:rFonts w:eastAsia="Calibri"/>
          <w:sz w:val="22"/>
          <w:szCs w:val="22"/>
        </w:rPr>
        <w:t>.  There is no time limit on the use of emergency stationary RICE in emergency situations.  [40 CFR 60.4211(f)(1)]</w:t>
      </w:r>
    </w:p>
    <w:p w:rsidR="00EF1200" w:rsidRPr="00EF1200" w:rsidRDefault="00EF1200" w:rsidP="00EF1200">
      <w:pPr>
        <w:numPr>
          <w:ilvl w:val="1"/>
          <w:numId w:val="32"/>
        </w:numPr>
        <w:spacing w:before="60" w:after="60"/>
        <w:ind w:left="720"/>
        <w:rPr>
          <w:rFonts w:eastAsia="Calibri"/>
          <w:sz w:val="22"/>
          <w:szCs w:val="22"/>
        </w:rPr>
      </w:pPr>
      <w:r w:rsidRPr="00EF1200">
        <w:rPr>
          <w:rFonts w:eastAsia="Calibri"/>
          <w:i/>
          <w:iCs/>
          <w:sz w:val="22"/>
          <w:szCs w:val="22"/>
        </w:rPr>
        <w:t>Maintenance and Testing</w:t>
      </w:r>
      <w:r w:rsidRPr="00EF1200">
        <w:rPr>
          <w:rFonts w:eastAsia="Calibri"/>
          <w:sz w:val="22"/>
          <w:szCs w:val="22"/>
        </w:rPr>
        <w:t xml:space="preserve">.  This unit is authorized to operate </w:t>
      </w:r>
      <w:proofErr w:type="gramStart"/>
      <w:r w:rsidRPr="00EF1200">
        <w:rPr>
          <w:rFonts w:eastAsia="Calibri"/>
          <w:sz w:val="22"/>
          <w:szCs w:val="22"/>
        </w:rPr>
        <w:t>for the purpose of</w:t>
      </w:r>
      <w:proofErr w:type="gramEnd"/>
      <w:r w:rsidRPr="00EF1200">
        <w:rPr>
          <w:rFonts w:eastAsia="Calibri"/>
          <w:sz w:val="22"/>
          <w:szCs w:val="22"/>
        </w:rPr>
        <w:t xml:space="preserve">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  [40 CFR 60.4211(f)(2)(</w:t>
      </w:r>
      <w:proofErr w:type="spellStart"/>
      <w:r w:rsidRPr="00EF1200">
        <w:rPr>
          <w:rFonts w:eastAsia="Calibri"/>
          <w:sz w:val="22"/>
          <w:szCs w:val="22"/>
        </w:rPr>
        <w:t>i</w:t>
      </w:r>
      <w:proofErr w:type="spellEnd"/>
      <w:r w:rsidRPr="00EF1200">
        <w:rPr>
          <w:rFonts w:eastAsia="Calibri"/>
          <w:sz w:val="22"/>
          <w:szCs w:val="22"/>
        </w:rPr>
        <w:t>)]</w:t>
      </w:r>
    </w:p>
    <w:p w:rsidR="004544BE" w:rsidRDefault="00EF1200" w:rsidP="0055659B">
      <w:pPr>
        <w:numPr>
          <w:ilvl w:val="1"/>
          <w:numId w:val="32"/>
        </w:numPr>
        <w:spacing w:before="60" w:after="60"/>
        <w:ind w:left="720"/>
        <w:rPr>
          <w:rFonts w:eastAsia="Calibri"/>
          <w:sz w:val="22"/>
          <w:szCs w:val="22"/>
        </w:rPr>
      </w:pPr>
      <w:r w:rsidRPr="00EF1200">
        <w:rPr>
          <w:rFonts w:eastAsia="Calibri"/>
          <w:i/>
          <w:iCs/>
          <w:sz w:val="22"/>
          <w:szCs w:val="22"/>
        </w:rPr>
        <w:t>Non-</w:t>
      </w:r>
      <w:r w:rsidR="00032692">
        <w:rPr>
          <w:rFonts w:eastAsia="Calibri"/>
          <w:i/>
          <w:iCs/>
          <w:sz w:val="22"/>
          <w:szCs w:val="22"/>
        </w:rPr>
        <w:t>E</w:t>
      </w:r>
      <w:r w:rsidRPr="00EF1200">
        <w:rPr>
          <w:rFonts w:eastAsia="Calibri"/>
          <w:i/>
          <w:iCs/>
          <w:sz w:val="22"/>
          <w:szCs w:val="22"/>
        </w:rPr>
        <w:t>mergency Situations</w:t>
      </w:r>
      <w:r w:rsidRPr="00EF1200">
        <w:rPr>
          <w:rFonts w:eastAsia="Calibri"/>
          <w:sz w:val="22"/>
          <w:szCs w:val="22"/>
        </w:rPr>
        <w:t xml:space="preserve">.  </w:t>
      </w:r>
      <w:r w:rsidR="00123F6A" w:rsidRPr="00123F6A">
        <w:rPr>
          <w:rFonts w:eastAsia="Calibri"/>
          <w:sz w:val="22"/>
          <w:szCs w:val="22"/>
        </w:rPr>
        <w:t>Th</w:t>
      </w:r>
      <w:r w:rsidR="0055659B">
        <w:rPr>
          <w:rFonts w:eastAsia="Calibri"/>
          <w:sz w:val="22"/>
          <w:szCs w:val="22"/>
        </w:rPr>
        <w:t>is</w:t>
      </w:r>
      <w:r w:rsidR="00123F6A" w:rsidRPr="00123F6A">
        <w:rPr>
          <w:rFonts w:eastAsia="Calibri"/>
          <w:sz w:val="22"/>
          <w:szCs w:val="22"/>
        </w:rPr>
        <w:t xml:space="preserve"> emergency stationary RICE may be operated for up to 50 hours per calendar year in non-emergency situations.  The 50 hours of operation in non-emergency situations are counted as part of the 100 hours per calendar year for maintenance and testing and emergency demand response provided in paragraph b., above.  The 50 hours per year for non-emergency situations cannot be used for peak shaving or non-emergency demand response, or to generate income for a facility to supply power to an electric grid or otherwise supply power as part of a financial arrangement with another entity</w:t>
      </w:r>
      <w:r w:rsidRPr="00EF1200">
        <w:rPr>
          <w:rFonts w:eastAsia="Calibri"/>
          <w:sz w:val="22"/>
          <w:szCs w:val="22"/>
        </w:rPr>
        <w:t>.  [40 CFR 60.4211(f)(3)]</w:t>
      </w:r>
    </w:p>
    <w:p w:rsidR="00EF1200" w:rsidRPr="00EF1200" w:rsidRDefault="00EF1200" w:rsidP="00EF1200">
      <w:pPr>
        <w:numPr>
          <w:ilvl w:val="0"/>
          <w:numId w:val="30"/>
        </w:numPr>
        <w:spacing w:after="60"/>
        <w:ind w:left="360"/>
        <w:rPr>
          <w:sz w:val="22"/>
        </w:rPr>
      </w:pPr>
      <w:r w:rsidRPr="00EF1200">
        <w:rPr>
          <w:sz w:val="22"/>
          <w:u w:val="single"/>
        </w:rPr>
        <w:lastRenderedPageBreak/>
        <w:t xml:space="preserve"> </w:t>
      </w:r>
      <w:bookmarkStart w:id="49" w:name="_Ref511650186"/>
      <w:r w:rsidRPr="00EF1200">
        <w:rPr>
          <w:sz w:val="22"/>
          <w:u w:val="single"/>
        </w:rPr>
        <w:t>Emergency Generator BACT Emission Limits</w:t>
      </w:r>
      <w:r w:rsidRPr="00EF1200">
        <w:rPr>
          <w:sz w:val="22"/>
        </w:rPr>
        <w:t>:</w:t>
      </w:r>
      <w:bookmarkEnd w:id="48"/>
      <w:bookmarkEnd w:id="49"/>
    </w:p>
    <w:tbl>
      <w:tblPr>
        <w:tblW w:w="9540" w:type="dxa"/>
        <w:tblInd w:w="4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970"/>
        <w:gridCol w:w="1440"/>
        <w:gridCol w:w="1620"/>
        <w:gridCol w:w="1980"/>
        <w:gridCol w:w="1530"/>
      </w:tblGrid>
      <w:tr w:rsidR="00EF1200" w:rsidRPr="00EF1200" w:rsidTr="003F2A9C">
        <w:trPr>
          <w:trHeight w:val="403"/>
        </w:trPr>
        <w:tc>
          <w:tcPr>
            <w:tcW w:w="2970" w:type="dxa"/>
            <w:tcBorders>
              <w:top w:val="single" w:sz="12" w:space="0" w:color="auto"/>
              <w:left w:val="single" w:sz="12" w:space="0" w:color="auto"/>
              <w:bottom w:val="single" w:sz="12" w:space="0" w:color="auto"/>
              <w:right w:val="single" w:sz="6" w:space="0" w:color="auto"/>
            </w:tcBorders>
            <w:shd w:val="clear" w:color="auto" w:fill="B8CCE4"/>
            <w:vAlign w:val="center"/>
            <w:hideMark/>
          </w:tcPr>
          <w:p w:rsidR="00EF1200" w:rsidRPr="00EF1200" w:rsidRDefault="00EF1200" w:rsidP="00EF1200">
            <w:pPr>
              <w:tabs>
                <w:tab w:val="left" w:pos="1440"/>
                <w:tab w:val="left" w:pos="1800"/>
                <w:tab w:val="left" w:pos="2160"/>
              </w:tabs>
              <w:spacing w:before="20" w:after="20"/>
              <w:jc w:val="center"/>
              <w:rPr>
                <w:b/>
              </w:rPr>
            </w:pPr>
            <w:r w:rsidRPr="00EF1200">
              <w:br w:type="page"/>
            </w:r>
            <w:r w:rsidRPr="00EF1200">
              <w:rPr>
                <w:b/>
              </w:rPr>
              <w:t>Emergency Generator</w:t>
            </w:r>
            <w:r w:rsidRPr="00EF1200">
              <w:rPr>
                <w:b/>
              </w:rPr>
              <w:br/>
            </w:r>
            <w:r w:rsidRPr="00EF1200">
              <w:t>(&gt; 560 kilowatts)</w:t>
            </w:r>
          </w:p>
        </w:tc>
        <w:tc>
          <w:tcPr>
            <w:tcW w:w="1440" w:type="dxa"/>
            <w:tcBorders>
              <w:top w:val="single" w:sz="12" w:space="0" w:color="auto"/>
              <w:left w:val="single" w:sz="6" w:space="0" w:color="auto"/>
              <w:bottom w:val="single" w:sz="12" w:space="0" w:color="auto"/>
              <w:right w:val="single" w:sz="6" w:space="0" w:color="auto"/>
            </w:tcBorders>
            <w:shd w:val="clear" w:color="auto" w:fill="B8CCE4"/>
            <w:vAlign w:val="center"/>
            <w:hideMark/>
          </w:tcPr>
          <w:p w:rsidR="00EF1200" w:rsidRPr="00EF1200" w:rsidRDefault="00EF1200" w:rsidP="00EF1200">
            <w:pPr>
              <w:tabs>
                <w:tab w:val="left" w:pos="1440"/>
                <w:tab w:val="left" w:pos="1800"/>
                <w:tab w:val="left" w:pos="2160"/>
              </w:tabs>
              <w:spacing w:before="20" w:after="20"/>
              <w:jc w:val="center"/>
              <w:rPr>
                <w:b/>
                <w:vertAlign w:val="superscript"/>
              </w:rPr>
            </w:pPr>
            <w:r w:rsidRPr="00EF1200">
              <w:rPr>
                <w:b/>
              </w:rPr>
              <w:t>CO</w:t>
            </w:r>
            <w:r w:rsidRPr="00EF1200">
              <w:rPr>
                <w:b/>
              </w:rPr>
              <w:br/>
              <w:t>(</w:t>
            </w:r>
            <w:r w:rsidRPr="00EF1200">
              <w:t>g/kW-hr)</w:t>
            </w:r>
            <w:r w:rsidRPr="00EF1200">
              <w:rPr>
                <w:b/>
                <w:vertAlign w:val="superscript"/>
              </w:rPr>
              <w:t>1</w:t>
            </w:r>
          </w:p>
        </w:tc>
        <w:tc>
          <w:tcPr>
            <w:tcW w:w="1620" w:type="dxa"/>
            <w:tcBorders>
              <w:top w:val="single" w:sz="12" w:space="0" w:color="auto"/>
              <w:left w:val="single" w:sz="6" w:space="0" w:color="auto"/>
              <w:bottom w:val="single" w:sz="12" w:space="0" w:color="auto"/>
              <w:right w:val="single" w:sz="6" w:space="0" w:color="auto"/>
            </w:tcBorders>
            <w:shd w:val="clear" w:color="auto" w:fill="B8CCE4"/>
            <w:vAlign w:val="center"/>
            <w:hideMark/>
          </w:tcPr>
          <w:p w:rsidR="00EF1200" w:rsidRPr="00EF1200" w:rsidRDefault="00EF1200" w:rsidP="00EF1200">
            <w:pPr>
              <w:tabs>
                <w:tab w:val="left" w:pos="1440"/>
                <w:tab w:val="left" w:pos="1800"/>
                <w:tab w:val="left" w:pos="2160"/>
              </w:tabs>
              <w:spacing w:before="20" w:after="20"/>
              <w:jc w:val="center"/>
              <w:rPr>
                <w:b/>
              </w:rPr>
            </w:pPr>
            <w:r w:rsidRPr="00EF1200">
              <w:rPr>
                <w:b/>
              </w:rPr>
              <w:t>PM</w:t>
            </w:r>
            <w:r w:rsidRPr="00EF1200">
              <w:rPr>
                <w:b/>
              </w:rPr>
              <w:br/>
              <w:t>(</w:t>
            </w:r>
            <w:r w:rsidRPr="00EF1200">
              <w:t>g/kW-hr)</w:t>
            </w:r>
          </w:p>
        </w:tc>
        <w:tc>
          <w:tcPr>
            <w:tcW w:w="1980" w:type="dxa"/>
            <w:tcBorders>
              <w:top w:val="single" w:sz="12" w:space="0" w:color="auto"/>
              <w:left w:val="single" w:sz="6" w:space="0" w:color="auto"/>
              <w:bottom w:val="single" w:sz="12" w:space="0" w:color="auto"/>
              <w:right w:val="single" w:sz="6" w:space="0" w:color="auto"/>
            </w:tcBorders>
            <w:shd w:val="clear" w:color="auto" w:fill="B8CCE4"/>
            <w:vAlign w:val="center"/>
            <w:hideMark/>
          </w:tcPr>
          <w:p w:rsidR="00EF1200" w:rsidRPr="00EF1200" w:rsidRDefault="00EF1200" w:rsidP="00EF1200">
            <w:pPr>
              <w:tabs>
                <w:tab w:val="left" w:pos="1440"/>
                <w:tab w:val="left" w:pos="1800"/>
                <w:tab w:val="left" w:pos="2160"/>
              </w:tabs>
              <w:spacing w:before="20" w:after="20"/>
              <w:jc w:val="center"/>
              <w:rPr>
                <w:b/>
              </w:rPr>
            </w:pPr>
            <w:r w:rsidRPr="00EF1200">
              <w:rPr>
                <w:b/>
              </w:rPr>
              <w:t>NMHC</w:t>
            </w:r>
            <w:r w:rsidRPr="00EF1200">
              <w:rPr>
                <w:b/>
                <w:vertAlign w:val="superscript"/>
              </w:rPr>
              <w:t>2</w:t>
            </w:r>
            <w:r w:rsidRPr="00EF1200">
              <w:rPr>
                <w:b/>
              </w:rPr>
              <w:t>+NO</w:t>
            </w:r>
            <w:r w:rsidRPr="00EF1200">
              <w:rPr>
                <w:b/>
                <w:vertAlign w:val="subscript"/>
              </w:rPr>
              <w:t>X</w:t>
            </w:r>
            <w:r w:rsidRPr="00EF1200">
              <w:rPr>
                <w:b/>
                <w:vertAlign w:val="subscript"/>
              </w:rPr>
              <w:br/>
            </w:r>
            <w:r w:rsidRPr="00EF1200">
              <w:rPr>
                <w:b/>
              </w:rPr>
              <w:t>(</w:t>
            </w:r>
            <w:r w:rsidRPr="00EF1200">
              <w:t>g/kW-hr)</w:t>
            </w:r>
          </w:p>
        </w:tc>
        <w:tc>
          <w:tcPr>
            <w:tcW w:w="1530" w:type="dxa"/>
            <w:tcBorders>
              <w:top w:val="single" w:sz="12" w:space="0" w:color="auto"/>
              <w:left w:val="single" w:sz="6" w:space="0" w:color="auto"/>
              <w:bottom w:val="single" w:sz="12" w:space="0" w:color="auto"/>
              <w:right w:val="single" w:sz="12" w:space="0" w:color="auto"/>
            </w:tcBorders>
            <w:shd w:val="clear" w:color="auto" w:fill="B8CCE4"/>
            <w:vAlign w:val="center"/>
            <w:hideMark/>
          </w:tcPr>
          <w:p w:rsidR="00EF1200" w:rsidRPr="00EF1200" w:rsidRDefault="00EF1200" w:rsidP="00EF1200">
            <w:pPr>
              <w:spacing w:before="20" w:after="20"/>
              <w:jc w:val="center"/>
              <w:rPr>
                <w:b/>
              </w:rPr>
            </w:pPr>
            <w:r w:rsidRPr="00EF1200">
              <w:rPr>
                <w:b/>
              </w:rPr>
              <w:t>Diesel Fuel</w:t>
            </w:r>
            <w:r w:rsidRPr="00EF1200">
              <w:rPr>
                <w:b/>
                <w:vertAlign w:val="superscript"/>
              </w:rPr>
              <w:t>3</w:t>
            </w:r>
            <w:r w:rsidRPr="00EF1200">
              <w:rPr>
                <w:b/>
              </w:rPr>
              <w:br/>
            </w:r>
            <w:r w:rsidRPr="00EF1200">
              <w:t>(sulfur)</w:t>
            </w:r>
          </w:p>
        </w:tc>
      </w:tr>
      <w:tr w:rsidR="00EF1200" w:rsidRPr="00EF1200" w:rsidTr="003F2A9C">
        <w:trPr>
          <w:trHeight w:val="232"/>
        </w:trPr>
        <w:tc>
          <w:tcPr>
            <w:tcW w:w="2970" w:type="dxa"/>
            <w:tcBorders>
              <w:top w:val="single" w:sz="12" w:space="0" w:color="auto"/>
              <w:left w:val="single" w:sz="12" w:space="0" w:color="auto"/>
              <w:bottom w:val="single" w:sz="12" w:space="0" w:color="auto"/>
              <w:right w:val="single" w:sz="6" w:space="0" w:color="auto"/>
            </w:tcBorders>
            <w:vAlign w:val="center"/>
            <w:hideMark/>
          </w:tcPr>
          <w:p w:rsidR="00EF1200" w:rsidRPr="00EF1200" w:rsidRDefault="00EF1200" w:rsidP="00EF1200">
            <w:pPr>
              <w:tabs>
                <w:tab w:val="left" w:pos="1440"/>
                <w:tab w:val="left" w:pos="1800"/>
                <w:tab w:val="left" w:pos="2160"/>
              </w:tabs>
              <w:spacing w:before="20" w:after="20"/>
              <w:jc w:val="center"/>
            </w:pPr>
            <w:r w:rsidRPr="00EF1200">
              <w:t>20</w:t>
            </w:r>
            <w:r w:rsidR="00155CB1">
              <w:t>07</w:t>
            </w:r>
            <w:r w:rsidRPr="00EF1200">
              <w:t xml:space="preserve"> and later</w:t>
            </w:r>
          </w:p>
        </w:tc>
        <w:tc>
          <w:tcPr>
            <w:tcW w:w="1440" w:type="dxa"/>
            <w:tcBorders>
              <w:top w:val="single" w:sz="12" w:space="0" w:color="auto"/>
              <w:left w:val="single" w:sz="6" w:space="0" w:color="auto"/>
              <w:bottom w:val="single" w:sz="12" w:space="0" w:color="auto"/>
              <w:right w:val="single" w:sz="6" w:space="0" w:color="auto"/>
            </w:tcBorders>
            <w:vAlign w:val="center"/>
            <w:hideMark/>
          </w:tcPr>
          <w:p w:rsidR="00EF1200" w:rsidRPr="00EF1200" w:rsidRDefault="00EF1200" w:rsidP="00EF1200">
            <w:pPr>
              <w:tabs>
                <w:tab w:val="left" w:pos="1440"/>
                <w:tab w:val="left" w:pos="1800"/>
                <w:tab w:val="left" w:pos="2160"/>
              </w:tabs>
              <w:spacing w:before="20" w:after="20"/>
              <w:jc w:val="center"/>
            </w:pPr>
            <w:r w:rsidRPr="00EF1200">
              <w:t>3.5</w:t>
            </w:r>
          </w:p>
        </w:tc>
        <w:tc>
          <w:tcPr>
            <w:tcW w:w="1620" w:type="dxa"/>
            <w:tcBorders>
              <w:top w:val="single" w:sz="12" w:space="0" w:color="auto"/>
              <w:left w:val="single" w:sz="6" w:space="0" w:color="auto"/>
              <w:bottom w:val="single" w:sz="12" w:space="0" w:color="auto"/>
              <w:right w:val="single" w:sz="6" w:space="0" w:color="auto"/>
            </w:tcBorders>
            <w:vAlign w:val="center"/>
            <w:hideMark/>
          </w:tcPr>
          <w:p w:rsidR="00EF1200" w:rsidRPr="00EF1200" w:rsidRDefault="00EF1200" w:rsidP="00EF1200">
            <w:pPr>
              <w:tabs>
                <w:tab w:val="left" w:pos="1440"/>
                <w:tab w:val="left" w:pos="1800"/>
                <w:tab w:val="left" w:pos="2160"/>
              </w:tabs>
              <w:spacing w:before="20" w:after="20"/>
              <w:jc w:val="center"/>
              <w:rPr>
                <w:lang w:val="de-DE"/>
              </w:rPr>
            </w:pPr>
            <w:r w:rsidRPr="00EF1200">
              <w:rPr>
                <w:lang w:val="de-DE"/>
              </w:rPr>
              <w:t>0.20</w:t>
            </w:r>
          </w:p>
        </w:tc>
        <w:tc>
          <w:tcPr>
            <w:tcW w:w="1980" w:type="dxa"/>
            <w:tcBorders>
              <w:top w:val="single" w:sz="12" w:space="0" w:color="auto"/>
              <w:left w:val="single" w:sz="6" w:space="0" w:color="auto"/>
              <w:bottom w:val="single" w:sz="12" w:space="0" w:color="auto"/>
              <w:right w:val="single" w:sz="6" w:space="0" w:color="auto"/>
            </w:tcBorders>
            <w:vAlign w:val="center"/>
            <w:hideMark/>
          </w:tcPr>
          <w:p w:rsidR="00EF1200" w:rsidRPr="00EF1200" w:rsidRDefault="00EF1200" w:rsidP="00EF1200">
            <w:pPr>
              <w:tabs>
                <w:tab w:val="left" w:pos="1440"/>
                <w:tab w:val="left" w:pos="1800"/>
                <w:tab w:val="left" w:pos="2160"/>
              </w:tabs>
              <w:spacing w:before="20" w:after="20"/>
              <w:jc w:val="center"/>
            </w:pPr>
            <w:r w:rsidRPr="00EF1200">
              <w:t>6.4</w:t>
            </w:r>
          </w:p>
        </w:tc>
        <w:tc>
          <w:tcPr>
            <w:tcW w:w="1530" w:type="dxa"/>
            <w:tcBorders>
              <w:top w:val="single" w:sz="12" w:space="0" w:color="auto"/>
              <w:left w:val="single" w:sz="6" w:space="0" w:color="auto"/>
              <w:bottom w:val="single" w:sz="12" w:space="0" w:color="auto"/>
              <w:right w:val="single" w:sz="12" w:space="0" w:color="auto"/>
            </w:tcBorders>
            <w:vAlign w:val="center"/>
            <w:hideMark/>
          </w:tcPr>
          <w:p w:rsidR="00EF1200" w:rsidRPr="00EF1200" w:rsidRDefault="00EF1200" w:rsidP="00EF1200">
            <w:pPr>
              <w:spacing w:before="20" w:after="20"/>
              <w:jc w:val="center"/>
            </w:pPr>
            <w:r w:rsidRPr="00EF1200">
              <w:t>15 ppm</w:t>
            </w:r>
          </w:p>
        </w:tc>
      </w:tr>
      <w:tr w:rsidR="00EF1200" w:rsidRPr="00EF1200" w:rsidTr="003F2A9C">
        <w:trPr>
          <w:trHeight w:val="338"/>
        </w:trPr>
        <w:tc>
          <w:tcPr>
            <w:tcW w:w="9540" w:type="dxa"/>
            <w:gridSpan w:val="5"/>
            <w:tcBorders>
              <w:top w:val="single" w:sz="12" w:space="0" w:color="auto"/>
              <w:left w:val="single" w:sz="12" w:space="0" w:color="auto"/>
              <w:bottom w:val="single" w:sz="12" w:space="0" w:color="auto"/>
              <w:right w:val="single" w:sz="12" w:space="0" w:color="auto"/>
            </w:tcBorders>
            <w:hideMark/>
          </w:tcPr>
          <w:p w:rsidR="00EF1200" w:rsidRPr="00EF1200" w:rsidRDefault="00EF1200" w:rsidP="00EF1200">
            <w:pPr>
              <w:numPr>
                <w:ilvl w:val="0"/>
                <w:numId w:val="31"/>
              </w:numPr>
              <w:spacing w:before="20" w:after="20"/>
              <w:ind w:left="331" w:hanging="331"/>
              <w:rPr>
                <w:sz w:val="18"/>
              </w:rPr>
            </w:pPr>
            <w:r w:rsidRPr="00EF1200">
              <w:rPr>
                <w:sz w:val="18"/>
              </w:rPr>
              <w:t>g/kW-hr means grams per kilowatt-hour.</w:t>
            </w:r>
          </w:p>
          <w:p w:rsidR="00EF1200" w:rsidRPr="00EF1200" w:rsidRDefault="00EF1200" w:rsidP="00EF1200">
            <w:pPr>
              <w:numPr>
                <w:ilvl w:val="0"/>
                <w:numId w:val="31"/>
              </w:numPr>
              <w:spacing w:before="20" w:after="20"/>
              <w:ind w:left="331" w:hanging="331"/>
              <w:rPr>
                <w:sz w:val="18"/>
              </w:rPr>
            </w:pPr>
            <w:r w:rsidRPr="00EF1200">
              <w:rPr>
                <w:sz w:val="18"/>
              </w:rPr>
              <w:t xml:space="preserve">NMHC means Non-Methane Hydrocarbons.  </w:t>
            </w:r>
          </w:p>
          <w:p w:rsidR="00EF1200" w:rsidRPr="00EF1200" w:rsidRDefault="00EF1200" w:rsidP="00EF1200">
            <w:pPr>
              <w:numPr>
                <w:ilvl w:val="0"/>
                <w:numId w:val="31"/>
              </w:numPr>
              <w:spacing w:before="20" w:after="20"/>
              <w:ind w:left="331" w:hanging="331"/>
            </w:pPr>
            <w:r w:rsidRPr="00EF1200">
              <w:rPr>
                <w:sz w:val="18"/>
              </w:rPr>
              <w:t xml:space="preserve">Nonroad diesel specification of 15 ppm is from 40 CFR part 80, subpart </w:t>
            </w:r>
            <w:r w:rsidRPr="00EF1200">
              <w:rPr>
                <w:bCs/>
                <w:sz w:val="18"/>
                <w:szCs w:val="18"/>
              </w:rPr>
              <w:t>I</w:t>
            </w:r>
            <w:r w:rsidRPr="00EF1200">
              <w:rPr>
                <w:sz w:val="18"/>
                <w:szCs w:val="18"/>
              </w:rPr>
              <w:t xml:space="preserve"> – </w:t>
            </w:r>
            <w:r w:rsidRPr="00EF1200">
              <w:rPr>
                <w:bCs/>
                <w:sz w:val="18"/>
              </w:rPr>
              <w:t xml:space="preserve">Motor Vehicle Diesel Fuel; Nonroad, Locomotive, and Marine Diesel Fuel; and ECA Marine Fuel.  </w:t>
            </w:r>
          </w:p>
        </w:tc>
      </w:tr>
    </w:tbl>
    <w:p w:rsidR="00EF1200" w:rsidRPr="00EF1200" w:rsidRDefault="00EF1200" w:rsidP="00EF1200">
      <w:pPr>
        <w:spacing w:before="120" w:after="120"/>
        <w:ind w:left="360"/>
        <w:rPr>
          <w:sz w:val="22"/>
        </w:rPr>
      </w:pPr>
      <w:r w:rsidRPr="00EF1200">
        <w:rPr>
          <w:sz w:val="22"/>
        </w:rPr>
        <w:t xml:space="preserve">[Rule 62-212.400(BACT), F.A.C.; </w:t>
      </w:r>
      <w:r w:rsidR="00812FA5">
        <w:rPr>
          <w:sz w:val="22"/>
        </w:rPr>
        <w:t xml:space="preserve">40 CFR </w:t>
      </w:r>
      <w:r w:rsidRPr="00EF1200">
        <w:rPr>
          <w:sz w:val="22"/>
        </w:rPr>
        <w:t>60.4205]</w:t>
      </w:r>
    </w:p>
    <w:p w:rsidR="00812FA5" w:rsidRPr="00812FA5" w:rsidRDefault="00812FA5" w:rsidP="00812FA5">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b/>
          <w:caps/>
          <w:sz w:val="22"/>
        </w:rPr>
      </w:pPr>
      <w:r w:rsidRPr="00812FA5">
        <w:rPr>
          <w:b/>
          <w:caps/>
          <w:sz w:val="22"/>
        </w:rPr>
        <w:t>Monitoring Requirements</w:t>
      </w:r>
    </w:p>
    <w:p w:rsidR="00812FA5" w:rsidRPr="000635AB" w:rsidRDefault="00812FA5" w:rsidP="00C75BEC">
      <w:pPr>
        <w:numPr>
          <w:ilvl w:val="0"/>
          <w:numId w:val="30"/>
        </w:numPr>
        <w:spacing w:after="60"/>
        <w:ind w:left="360"/>
        <w:rPr>
          <w:rFonts w:eastAsia="Calibri"/>
          <w:b/>
          <w:bCs/>
          <w:caps/>
          <w:sz w:val="22"/>
          <w:szCs w:val="22"/>
        </w:rPr>
      </w:pPr>
      <w:r w:rsidRPr="000635AB">
        <w:rPr>
          <w:color w:val="000000"/>
          <w:sz w:val="22"/>
          <w:szCs w:val="22"/>
          <w:u w:val="single"/>
        </w:rPr>
        <w:t>Hour Meter</w:t>
      </w:r>
      <w:r w:rsidRPr="000635AB">
        <w:rPr>
          <w:color w:val="000000"/>
          <w:sz w:val="22"/>
          <w:szCs w:val="22"/>
        </w:rPr>
        <w:t xml:space="preserve">.  The owner or operator must install a non-resettable hour meter on </w:t>
      </w:r>
      <w:r w:rsidR="00C363D2">
        <w:rPr>
          <w:color w:val="000000"/>
          <w:sz w:val="22"/>
          <w:szCs w:val="22"/>
        </w:rPr>
        <w:t xml:space="preserve">the </w:t>
      </w:r>
      <w:r w:rsidRPr="000635AB">
        <w:rPr>
          <w:color w:val="000000"/>
          <w:sz w:val="22"/>
          <w:szCs w:val="22"/>
        </w:rPr>
        <w:t>engine if one is not already installed.  [40 CFR 60.4209(a)]</w:t>
      </w:r>
    </w:p>
    <w:p w:rsidR="00812FA5" w:rsidRPr="00812FA5" w:rsidRDefault="00812FA5" w:rsidP="00351B4C">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b/>
          <w:caps/>
          <w:sz w:val="22"/>
        </w:rPr>
      </w:pPr>
      <w:bookmarkStart w:id="50" w:name="_Hlk513475375"/>
      <w:r w:rsidRPr="00812FA5">
        <w:rPr>
          <w:b/>
          <w:caps/>
          <w:sz w:val="22"/>
        </w:rPr>
        <w:t>Testing and Compliance Requirements</w:t>
      </w:r>
    </w:p>
    <w:p w:rsidR="00812FA5" w:rsidRPr="000635AB" w:rsidRDefault="00812FA5" w:rsidP="00C75BEC">
      <w:pPr>
        <w:numPr>
          <w:ilvl w:val="0"/>
          <w:numId w:val="30"/>
        </w:numPr>
        <w:spacing w:after="60"/>
        <w:ind w:left="360"/>
        <w:rPr>
          <w:sz w:val="22"/>
          <w:szCs w:val="22"/>
        </w:rPr>
      </w:pPr>
      <w:r w:rsidRPr="000635AB">
        <w:rPr>
          <w:color w:val="000000"/>
          <w:sz w:val="22"/>
          <w:szCs w:val="22"/>
          <w:u w:val="single"/>
        </w:rPr>
        <w:t>Operation and Maintenance</w:t>
      </w:r>
      <w:r w:rsidRPr="000635AB">
        <w:rPr>
          <w:color w:val="000000"/>
          <w:sz w:val="22"/>
          <w:szCs w:val="22"/>
        </w:rPr>
        <w:t>.  The owner or operato</w:t>
      </w:r>
      <w:r w:rsidR="00C363D2">
        <w:rPr>
          <w:color w:val="000000"/>
          <w:sz w:val="22"/>
          <w:szCs w:val="22"/>
        </w:rPr>
        <w:t>r must operate and maintain the engine</w:t>
      </w:r>
      <w:r w:rsidRPr="000635AB">
        <w:rPr>
          <w:color w:val="000000"/>
          <w:sz w:val="22"/>
          <w:szCs w:val="22"/>
        </w:rPr>
        <w:t xml:space="preserve"> according to the manufacturer's written instructions.  In addition, owners and operators may only change those settings that are permitted by the manufacturer.  </w:t>
      </w:r>
      <w:r w:rsidRPr="000635AB">
        <w:rPr>
          <w:sz w:val="22"/>
          <w:szCs w:val="22"/>
        </w:rPr>
        <w:t xml:space="preserve">The RICE must be maintained and operated to meet </w:t>
      </w:r>
      <w:r w:rsidRPr="000635AB">
        <w:rPr>
          <w:color w:val="000000"/>
          <w:sz w:val="22"/>
          <w:szCs w:val="22"/>
        </w:rPr>
        <w:t xml:space="preserve">the emissions limits in </w:t>
      </w:r>
      <w:r w:rsidRPr="00386E93">
        <w:rPr>
          <w:b/>
          <w:color w:val="000000"/>
          <w:sz w:val="22"/>
          <w:szCs w:val="22"/>
        </w:rPr>
        <w:t xml:space="preserve">Specific Condition </w:t>
      </w:r>
      <w:r w:rsidR="00386E93" w:rsidRPr="00386E93">
        <w:rPr>
          <w:b/>
          <w:sz w:val="22"/>
        </w:rPr>
        <w:fldChar w:fldCharType="begin"/>
      </w:r>
      <w:r w:rsidR="00386E93" w:rsidRPr="00386E93">
        <w:rPr>
          <w:b/>
          <w:color w:val="000000"/>
          <w:sz w:val="22"/>
          <w:szCs w:val="22"/>
        </w:rPr>
        <w:instrText xml:space="preserve"> REF _Ref511650186 \r \h </w:instrText>
      </w:r>
      <w:r w:rsidR="00386E93">
        <w:rPr>
          <w:b/>
          <w:sz w:val="22"/>
        </w:rPr>
        <w:instrText xml:space="preserve"> \* MERGEFORMAT </w:instrText>
      </w:r>
      <w:r w:rsidR="00386E93" w:rsidRPr="00386E93">
        <w:rPr>
          <w:b/>
          <w:sz w:val="22"/>
        </w:rPr>
      </w:r>
      <w:r w:rsidR="00386E93" w:rsidRPr="00386E93">
        <w:rPr>
          <w:b/>
          <w:sz w:val="22"/>
        </w:rPr>
        <w:fldChar w:fldCharType="separate"/>
      </w:r>
      <w:r w:rsidR="006D04C9">
        <w:rPr>
          <w:b/>
          <w:color w:val="000000"/>
          <w:sz w:val="22"/>
          <w:szCs w:val="22"/>
        </w:rPr>
        <w:t>6</w:t>
      </w:r>
      <w:r w:rsidR="00386E93" w:rsidRPr="00386E93">
        <w:rPr>
          <w:b/>
          <w:sz w:val="22"/>
        </w:rPr>
        <w:fldChar w:fldCharType="end"/>
      </w:r>
      <w:r w:rsidRPr="000635AB">
        <w:rPr>
          <w:sz w:val="22"/>
          <w:szCs w:val="22"/>
        </w:rPr>
        <w:t xml:space="preserve"> over the entire life of the engine</w:t>
      </w:r>
      <w:r w:rsidRPr="000635AB">
        <w:rPr>
          <w:color w:val="000000"/>
          <w:sz w:val="22"/>
          <w:szCs w:val="22"/>
        </w:rPr>
        <w:t>.  [</w:t>
      </w:r>
      <w:r w:rsidRPr="000635AB">
        <w:rPr>
          <w:sz w:val="22"/>
          <w:szCs w:val="22"/>
        </w:rPr>
        <w:t>40 CFR 60.4206</w:t>
      </w:r>
      <w:r w:rsidRPr="000635AB">
        <w:rPr>
          <w:color w:val="000000"/>
          <w:sz w:val="22"/>
          <w:szCs w:val="22"/>
        </w:rPr>
        <w:t xml:space="preserve"> &amp; 4211(a)]</w:t>
      </w:r>
    </w:p>
    <w:p w:rsidR="00812FA5" w:rsidRPr="000635AB" w:rsidRDefault="00812FA5" w:rsidP="00C75BEC">
      <w:pPr>
        <w:numPr>
          <w:ilvl w:val="0"/>
          <w:numId w:val="30"/>
        </w:numPr>
        <w:spacing w:after="60"/>
        <w:ind w:left="360"/>
        <w:rPr>
          <w:rFonts w:eastAsia="Calibri"/>
          <w:b/>
          <w:bCs/>
          <w:caps/>
          <w:sz w:val="22"/>
          <w:szCs w:val="22"/>
        </w:rPr>
      </w:pPr>
      <w:r w:rsidRPr="000635AB">
        <w:rPr>
          <w:color w:val="000000"/>
          <w:sz w:val="22"/>
          <w:szCs w:val="22"/>
          <w:u w:val="single"/>
        </w:rPr>
        <w:t>Engine Certification Requirements</w:t>
      </w:r>
      <w:r w:rsidRPr="000635AB">
        <w:rPr>
          <w:color w:val="000000"/>
          <w:sz w:val="22"/>
          <w:szCs w:val="22"/>
        </w:rPr>
        <w:t xml:space="preserve">.  The owner or operator must comply with the emissions standards specified above by having purchased an engine certified by the manufacturer to meet those limits.  </w:t>
      </w:r>
      <w:r>
        <w:rPr>
          <w:color w:val="000000"/>
          <w:sz w:val="22"/>
          <w:szCs w:val="22"/>
        </w:rPr>
        <w:t>The RICE</w:t>
      </w:r>
      <w:r w:rsidRPr="000635AB">
        <w:rPr>
          <w:color w:val="000000"/>
          <w:sz w:val="22"/>
          <w:szCs w:val="22"/>
        </w:rPr>
        <w:t xml:space="preserve"> must </w:t>
      </w:r>
      <w:r>
        <w:rPr>
          <w:color w:val="000000"/>
          <w:sz w:val="22"/>
          <w:szCs w:val="22"/>
        </w:rPr>
        <w:t>be</w:t>
      </w:r>
      <w:r w:rsidRPr="000635AB">
        <w:rPr>
          <w:color w:val="000000"/>
          <w:sz w:val="22"/>
          <w:szCs w:val="22"/>
        </w:rPr>
        <w:t xml:space="preserve"> installed and configured according to the manufacturer’s emission-related specifications, except as permitted in </w:t>
      </w:r>
      <w:r w:rsidRPr="00F74DF7">
        <w:rPr>
          <w:b/>
          <w:color w:val="000000"/>
          <w:sz w:val="22"/>
          <w:szCs w:val="22"/>
        </w:rPr>
        <w:t xml:space="preserve">Specific Condition </w:t>
      </w:r>
      <w:r w:rsidR="00F74DF7" w:rsidRPr="00F74DF7">
        <w:rPr>
          <w:b/>
          <w:sz w:val="22"/>
        </w:rPr>
        <w:fldChar w:fldCharType="begin"/>
      </w:r>
      <w:r w:rsidR="00F74DF7" w:rsidRPr="00F74DF7">
        <w:rPr>
          <w:b/>
          <w:color w:val="000000"/>
          <w:sz w:val="22"/>
          <w:szCs w:val="22"/>
        </w:rPr>
        <w:instrText xml:space="preserve"> REF _Ref387063958 \r \h </w:instrText>
      </w:r>
      <w:r w:rsidR="00F74DF7">
        <w:rPr>
          <w:b/>
          <w:sz w:val="22"/>
        </w:rPr>
        <w:instrText xml:space="preserve"> \* MERGEFORMAT </w:instrText>
      </w:r>
      <w:r w:rsidR="00F74DF7" w:rsidRPr="00F74DF7">
        <w:rPr>
          <w:b/>
          <w:sz w:val="22"/>
        </w:rPr>
      </w:r>
      <w:r w:rsidR="00F74DF7" w:rsidRPr="00F74DF7">
        <w:rPr>
          <w:b/>
          <w:sz w:val="22"/>
        </w:rPr>
        <w:fldChar w:fldCharType="separate"/>
      </w:r>
      <w:r w:rsidR="006D04C9">
        <w:rPr>
          <w:b/>
          <w:color w:val="000000"/>
          <w:sz w:val="22"/>
          <w:szCs w:val="22"/>
        </w:rPr>
        <w:t>10</w:t>
      </w:r>
      <w:r w:rsidR="00F74DF7" w:rsidRPr="00F74DF7">
        <w:rPr>
          <w:b/>
          <w:sz w:val="22"/>
        </w:rPr>
        <w:fldChar w:fldCharType="end"/>
      </w:r>
      <w:r w:rsidRPr="000635AB">
        <w:rPr>
          <w:b/>
          <w:sz w:val="22"/>
        </w:rPr>
        <w:t>.</w:t>
      </w:r>
      <w:r w:rsidRPr="000635AB">
        <w:rPr>
          <w:color w:val="000000"/>
          <w:sz w:val="22"/>
          <w:szCs w:val="22"/>
        </w:rPr>
        <w:t xml:space="preserve">  [40 CFR 60.4211(c)]</w:t>
      </w:r>
    </w:p>
    <w:p w:rsidR="00812FA5" w:rsidRPr="00F74DF7" w:rsidRDefault="00812FA5" w:rsidP="00C75BEC">
      <w:pPr>
        <w:numPr>
          <w:ilvl w:val="0"/>
          <w:numId w:val="30"/>
        </w:numPr>
        <w:spacing w:after="60"/>
        <w:ind w:left="360"/>
        <w:rPr>
          <w:rFonts w:eastAsia="Calibri"/>
          <w:b/>
          <w:bCs/>
          <w:caps/>
          <w:sz w:val="22"/>
          <w:szCs w:val="22"/>
        </w:rPr>
      </w:pPr>
      <w:bookmarkStart w:id="51" w:name="_Ref387063958"/>
      <w:r w:rsidRPr="000635AB">
        <w:rPr>
          <w:color w:val="000000"/>
          <w:sz w:val="22"/>
          <w:szCs w:val="22"/>
          <w:u w:val="single"/>
        </w:rPr>
        <w:t>Compliance Requirements Due to Loss of Certification</w:t>
      </w:r>
      <w:r w:rsidRPr="000635AB">
        <w:rPr>
          <w:color w:val="000000"/>
          <w:sz w:val="22"/>
          <w:szCs w:val="22"/>
        </w:rPr>
        <w:t xml:space="preserve">.  </w:t>
      </w:r>
      <w:r w:rsidRPr="000635AB">
        <w:rPr>
          <w:rFonts w:eastAsia="Calibri"/>
          <w:sz w:val="22"/>
          <w:szCs w:val="22"/>
        </w:rPr>
        <w:t xml:space="preserve">If you do not install, configure, operate, and maintain your engine and control device according to the manufacturer's emission-related written instructions, or you change emission-related settings in a way that is not permitted by the manufacturer, </w:t>
      </w:r>
      <w:r w:rsidRPr="000635AB">
        <w:rPr>
          <w:rFonts w:eastAsia="Calibri"/>
          <w:bCs/>
          <w:sz w:val="22"/>
          <w:szCs w:val="22"/>
        </w:rPr>
        <w:t>y</w:t>
      </w:r>
      <w:r w:rsidRPr="000635AB">
        <w:rPr>
          <w:rFonts w:eastAsia="Calibri"/>
          <w:sz w:val="22"/>
          <w:szCs w:val="22"/>
        </w:rPr>
        <w:t>ou must keep a maintenance plan and records of conducted maintenance and must, to the extent practicable, maintain and operate the engine in a manner consistent with good air pollution control practice for minimizing emissions.  In addition</w:t>
      </w:r>
      <w:r>
        <w:rPr>
          <w:rFonts w:eastAsia="Calibri"/>
          <w:sz w:val="22"/>
          <w:szCs w:val="22"/>
        </w:rPr>
        <w:t>, y</w:t>
      </w:r>
      <w:r w:rsidRPr="00812FA5">
        <w:rPr>
          <w:rFonts w:eastAsia="Calibri"/>
          <w:sz w:val="22"/>
          <w:szCs w:val="22"/>
        </w:rPr>
        <w:t>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  You must conduct subsequent performance testing every 8,760 hours of engine operation or 3 years, whichever comes first, thereafter to demonstrate compliance with the applicable emission standards</w:t>
      </w:r>
      <w:bookmarkEnd w:id="51"/>
      <w:r w:rsidR="00F74DF7">
        <w:rPr>
          <w:rFonts w:eastAsia="Calibri"/>
          <w:sz w:val="22"/>
          <w:szCs w:val="22"/>
        </w:rPr>
        <w:t>.</w:t>
      </w:r>
    </w:p>
    <w:p w:rsidR="00F74DF7" w:rsidRPr="000635AB" w:rsidRDefault="00F74DF7" w:rsidP="00F74DF7">
      <w:pPr>
        <w:spacing w:after="60"/>
        <w:ind w:left="360"/>
        <w:rPr>
          <w:rFonts w:eastAsia="Calibri"/>
          <w:b/>
          <w:bCs/>
          <w:caps/>
          <w:sz w:val="22"/>
          <w:szCs w:val="22"/>
        </w:rPr>
      </w:pPr>
      <w:r w:rsidRPr="000635AB">
        <w:rPr>
          <w:rFonts w:eastAsia="Calibri"/>
          <w:bCs/>
          <w:caps/>
          <w:sz w:val="22"/>
          <w:szCs w:val="22"/>
        </w:rPr>
        <w:t>[40 CFR 60.4211(</w:t>
      </w:r>
      <w:r w:rsidRPr="000635AB">
        <w:rPr>
          <w:rFonts w:eastAsia="Calibri"/>
          <w:bCs/>
          <w:sz w:val="22"/>
          <w:szCs w:val="22"/>
        </w:rPr>
        <w:t>c</w:t>
      </w:r>
      <w:r w:rsidRPr="000635AB">
        <w:rPr>
          <w:rFonts w:eastAsia="Calibri"/>
          <w:bCs/>
          <w:caps/>
          <w:sz w:val="22"/>
          <w:szCs w:val="22"/>
        </w:rPr>
        <w:t xml:space="preserve">) &amp; </w:t>
      </w:r>
      <w:r w:rsidRPr="000635AB">
        <w:rPr>
          <w:rFonts w:eastAsia="Calibri"/>
          <w:bCs/>
          <w:sz w:val="22"/>
          <w:szCs w:val="22"/>
        </w:rPr>
        <w:t>(g)</w:t>
      </w:r>
      <w:r w:rsidRPr="000635AB">
        <w:rPr>
          <w:rFonts w:eastAsia="Calibri"/>
          <w:color w:val="000000"/>
          <w:sz w:val="22"/>
          <w:szCs w:val="22"/>
        </w:rPr>
        <w:t>]</w:t>
      </w:r>
    </w:p>
    <w:p w:rsidR="00351B4C" w:rsidRPr="000635AB" w:rsidRDefault="00351B4C" w:rsidP="00F74DF7">
      <w:pPr>
        <w:numPr>
          <w:ilvl w:val="0"/>
          <w:numId w:val="30"/>
        </w:numPr>
        <w:spacing w:before="120" w:after="60"/>
        <w:ind w:left="360"/>
        <w:rPr>
          <w:color w:val="000000"/>
          <w:sz w:val="22"/>
          <w:szCs w:val="22"/>
        </w:rPr>
      </w:pPr>
      <w:bookmarkStart w:id="52" w:name="_Ref387225099"/>
      <w:r w:rsidRPr="00351B4C">
        <w:rPr>
          <w:color w:val="000000"/>
          <w:sz w:val="22"/>
          <w:szCs w:val="22"/>
          <w:u w:val="single"/>
        </w:rPr>
        <w:t>Testing</w:t>
      </w:r>
      <w:r w:rsidRPr="000635AB">
        <w:rPr>
          <w:rFonts w:eastAsia="Calibri"/>
          <w:bCs/>
          <w:sz w:val="22"/>
          <w:szCs w:val="22"/>
          <w:u w:val="single"/>
        </w:rPr>
        <w:t xml:space="preserve"> Requirements</w:t>
      </w:r>
      <w:r w:rsidRPr="000635AB">
        <w:rPr>
          <w:rFonts w:eastAsia="Calibri"/>
          <w:bCs/>
          <w:caps/>
          <w:sz w:val="22"/>
          <w:szCs w:val="22"/>
        </w:rPr>
        <w:t>.</w:t>
      </w:r>
      <w:r w:rsidRPr="000635AB">
        <w:rPr>
          <w:rFonts w:eastAsia="Calibri"/>
          <w:bCs/>
          <w:sz w:val="22"/>
          <w:szCs w:val="22"/>
        </w:rPr>
        <w:t xml:space="preserve">  In the event performance tests are required pursuant to </w:t>
      </w:r>
      <w:r w:rsidR="00361BD5" w:rsidRPr="00F74DF7">
        <w:rPr>
          <w:b/>
          <w:color w:val="000000"/>
          <w:sz w:val="22"/>
          <w:szCs w:val="22"/>
        </w:rPr>
        <w:t xml:space="preserve">Specific Condition </w:t>
      </w:r>
      <w:r w:rsidR="00361BD5" w:rsidRPr="00F74DF7">
        <w:rPr>
          <w:b/>
          <w:sz w:val="22"/>
        </w:rPr>
        <w:fldChar w:fldCharType="begin"/>
      </w:r>
      <w:r w:rsidR="00361BD5" w:rsidRPr="00F74DF7">
        <w:rPr>
          <w:b/>
          <w:color w:val="000000"/>
          <w:sz w:val="22"/>
          <w:szCs w:val="22"/>
        </w:rPr>
        <w:instrText xml:space="preserve"> REF _Ref387063958 \r \h </w:instrText>
      </w:r>
      <w:r w:rsidR="00361BD5">
        <w:rPr>
          <w:b/>
          <w:sz w:val="22"/>
        </w:rPr>
        <w:instrText xml:space="preserve"> \* MERGEFORMAT </w:instrText>
      </w:r>
      <w:r w:rsidR="00361BD5" w:rsidRPr="00F74DF7">
        <w:rPr>
          <w:b/>
          <w:sz w:val="22"/>
        </w:rPr>
      </w:r>
      <w:r w:rsidR="00361BD5" w:rsidRPr="00F74DF7">
        <w:rPr>
          <w:b/>
          <w:sz w:val="22"/>
        </w:rPr>
        <w:fldChar w:fldCharType="separate"/>
      </w:r>
      <w:r w:rsidR="006D04C9">
        <w:rPr>
          <w:b/>
          <w:color w:val="000000"/>
          <w:sz w:val="22"/>
          <w:szCs w:val="22"/>
        </w:rPr>
        <w:t>10</w:t>
      </w:r>
      <w:r w:rsidR="00361BD5" w:rsidRPr="00F74DF7">
        <w:rPr>
          <w:b/>
          <w:sz w:val="22"/>
        </w:rPr>
        <w:fldChar w:fldCharType="end"/>
      </w:r>
      <w:r w:rsidRPr="000635AB">
        <w:rPr>
          <w:rFonts w:eastAsia="Calibri"/>
          <w:b/>
          <w:bCs/>
          <w:sz w:val="22"/>
          <w:szCs w:val="22"/>
        </w:rPr>
        <w:t>.</w:t>
      </w:r>
      <w:r w:rsidRPr="000635AB">
        <w:rPr>
          <w:rFonts w:eastAsia="Calibri"/>
          <w:bCs/>
          <w:sz w:val="22"/>
          <w:szCs w:val="22"/>
        </w:rPr>
        <w:t>, the following requirements shall be met:</w:t>
      </w:r>
      <w:bookmarkEnd w:id="52"/>
    </w:p>
    <w:p w:rsidR="00351B4C" w:rsidRPr="000635AB" w:rsidRDefault="00351B4C" w:rsidP="003C2940">
      <w:pPr>
        <w:numPr>
          <w:ilvl w:val="0"/>
          <w:numId w:val="38"/>
        </w:numPr>
        <w:autoSpaceDE w:val="0"/>
        <w:autoSpaceDN w:val="0"/>
        <w:adjustRightInd w:val="0"/>
        <w:rPr>
          <w:color w:val="000000"/>
          <w:sz w:val="22"/>
          <w:szCs w:val="22"/>
        </w:rPr>
      </w:pPr>
      <w:r w:rsidRPr="000635AB">
        <w:rPr>
          <w:rFonts w:eastAsia="Calibri"/>
          <w:i/>
          <w:sz w:val="22"/>
          <w:szCs w:val="22"/>
        </w:rPr>
        <w:t>Testing Procedures</w:t>
      </w:r>
      <w:r w:rsidRPr="000635AB">
        <w:rPr>
          <w:rFonts w:eastAsia="Calibri"/>
          <w:sz w:val="22"/>
          <w:szCs w:val="22"/>
        </w:rPr>
        <w:t xml:space="preserve">.  The performance test must be conducted according to the in-use testing procedures in 40 CFR Part 1039, Subpart F.  </w:t>
      </w:r>
      <w:hyperlink r:id="rId38" w:anchor="40:34.0.1.1.5.6" w:tooltip="Click here to go to the Federal eCFR for Subpart F" w:history="1">
        <w:r w:rsidRPr="000635AB">
          <w:rPr>
            <w:rFonts w:eastAsia="Calibri"/>
            <w:color w:val="0000FF"/>
            <w:sz w:val="22"/>
            <w:szCs w:val="22"/>
            <w:u w:val="single"/>
          </w:rPr>
          <w:t>Link to Subpart F</w:t>
        </w:r>
      </w:hyperlink>
      <w:r w:rsidRPr="000635AB">
        <w:rPr>
          <w:rFonts w:eastAsia="Calibri"/>
          <w:sz w:val="22"/>
          <w:szCs w:val="22"/>
        </w:rPr>
        <w:t xml:space="preserve"> </w:t>
      </w:r>
      <w:r w:rsidR="003C2940" w:rsidRPr="003C2940">
        <w:rPr>
          <w:rFonts w:eastAsia="Calibri"/>
          <w:sz w:val="22"/>
          <w:szCs w:val="22"/>
        </w:rPr>
        <w:t>or the testing procedures outlined in 40 CFR 60.4213</w:t>
      </w:r>
      <w:r w:rsidR="003C2940">
        <w:rPr>
          <w:rFonts w:eastAsia="Calibri"/>
          <w:sz w:val="22"/>
          <w:szCs w:val="22"/>
        </w:rPr>
        <w:t>.</w:t>
      </w:r>
    </w:p>
    <w:p w:rsidR="00351B4C" w:rsidRPr="000635AB" w:rsidRDefault="00351B4C" w:rsidP="003C2940">
      <w:pPr>
        <w:numPr>
          <w:ilvl w:val="0"/>
          <w:numId w:val="38"/>
        </w:numPr>
        <w:autoSpaceDE w:val="0"/>
        <w:autoSpaceDN w:val="0"/>
        <w:adjustRightInd w:val="0"/>
        <w:rPr>
          <w:color w:val="000000"/>
          <w:sz w:val="22"/>
          <w:szCs w:val="22"/>
        </w:rPr>
      </w:pPr>
      <w:r w:rsidRPr="000635AB">
        <w:rPr>
          <w:rFonts w:eastAsia="Calibri"/>
          <w:i/>
          <w:sz w:val="22"/>
          <w:szCs w:val="22"/>
        </w:rPr>
        <w:t>NTE Standards</w:t>
      </w:r>
      <w:r w:rsidRPr="000635AB">
        <w:rPr>
          <w:rFonts w:eastAsia="Calibri"/>
          <w:sz w:val="22"/>
          <w:szCs w:val="22"/>
        </w:rPr>
        <w:t xml:space="preserve">.  </w:t>
      </w:r>
      <w:r w:rsidR="003C2940" w:rsidRPr="003C2940">
        <w:rPr>
          <w:rFonts w:eastAsia="Calibri"/>
          <w:sz w:val="22"/>
          <w:szCs w:val="22"/>
        </w:rPr>
        <w:t xml:space="preserve">If 40 CFR Part 1039 Subpart F is used, </w:t>
      </w:r>
      <w:r w:rsidR="003C2940">
        <w:rPr>
          <w:rFonts w:eastAsia="Calibri"/>
          <w:sz w:val="22"/>
          <w:szCs w:val="22"/>
        </w:rPr>
        <w:t>e</w:t>
      </w:r>
      <w:r w:rsidRPr="000635AB">
        <w:rPr>
          <w:rFonts w:eastAsia="Calibri"/>
          <w:sz w:val="22"/>
          <w:szCs w:val="22"/>
        </w:rPr>
        <w:t xml:space="preserve">xhaust emissions from the engine must not exceed the not-to-exceed (NTE) numerical requirements, rounded to the same number of decimal places as the applicable standard (STD) in </w:t>
      </w:r>
      <w:r w:rsidR="00502093" w:rsidRPr="00386E93">
        <w:rPr>
          <w:b/>
          <w:color w:val="000000"/>
          <w:sz w:val="22"/>
          <w:szCs w:val="22"/>
        </w:rPr>
        <w:t xml:space="preserve">Specific Condition </w:t>
      </w:r>
      <w:r w:rsidR="00502093" w:rsidRPr="00386E93">
        <w:rPr>
          <w:b/>
          <w:sz w:val="22"/>
        </w:rPr>
        <w:fldChar w:fldCharType="begin"/>
      </w:r>
      <w:r w:rsidR="00502093" w:rsidRPr="00386E93">
        <w:rPr>
          <w:b/>
          <w:color w:val="000000"/>
          <w:sz w:val="22"/>
          <w:szCs w:val="22"/>
        </w:rPr>
        <w:instrText xml:space="preserve"> REF _Ref511650186 \r \h </w:instrText>
      </w:r>
      <w:r w:rsidR="00502093">
        <w:rPr>
          <w:b/>
          <w:sz w:val="22"/>
        </w:rPr>
        <w:instrText xml:space="preserve"> \* MERGEFORMAT </w:instrText>
      </w:r>
      <w:r w:rsidR="00502093" w:rsidRPr="00386E93">
        <w:rPr>
          <w:b/>
          <w:sz w:val="22"/>
        </w:rPr>
      </w:r>
      <w:r w:rsidR="00502093" w:rsidRPr="00386E93">
        <w:rPr>
          <w:b/>
          <w:sz w:val="22"/>
        </w:rPr>
        <w:fldChar w:fldCharType="separate"/>
      </w:r>
      <w:r w:rsidR="006D04C9">
        <w:rPr>
          <w:b/>
          <w:color w:val="000000"/>
          <w:sz w:val="22"/>
          <w:szCs w:val="22"/>
        </w:rPr>
        <w:t>6</w:t>
      </w:r>
      <w:r w:rsidR="00502093" w:rsidRPr="00386E93">
        <w:rPr>
          <w:b/>
          <w:sz w:val="22"/>
        </w:rPr>
        <w:fldChar w:fldCharType="end"/>
      </w:r>
      <w:r w:rsidRPr="000635AB">
        <w:rPr>
          <w:rFonts w:eastAsia="Calibri"/>
          <w:sz w:val="22"/>
          <w:szCs w:val="22"/>
        </w:rPr>
        <w:t>, determined from the following equation:</w:t>
      </w:r>
    </w:p>
    <w:p w:rsidR="00351B4C" w:rsidRPr="000635AB" w:rsidRDefault="00351B4C" w:rsidP="00351B4C">
      <w:pPr>
        <w:tabs>
          <w:tab w:val="left" w:pos="1080"/>
        </w:tabs>
        <w:autoSpaceDE w:val="0"/>
        <w:autoSpaceDN w:val="0"/>
        <w:adjustRightInd w:val="0"/>
        <w:ind w:left="1080"/>
        <w:rPr>
          <w:color w:val="000000"/>
          <w:sz w:val="22"/>
          <w:szCs w:val="22"/>
        </w:rPr>
      </w:pPr>
      <w:r w:rsidRPr="000635AB">
        <w:rPr>
          <w:color w:val="000000"/>
          <w:sz w:val="22"/>
          <w:szCs w:val="22"/>
        </w:rPr>
        <w:t>NTE Requirement for Each Pollutant = (1.25) x (</w:t>
      </w:r>
      <w:proofErr w:type="gramStart"/>
      <w:r w:rsidRPr="000635AB">
        <w:rPr>
          <w:color w:val="000000"/>
          <w:sz w:val="22"/>
          <w:szCs w:val="22"/>
        </w:rPr>
        <w:t>STD)  (</w:t>
      </w:r>
      <w:proofErr w:type="gramEnd"/>
      <w:r w:rsidRPr="000635AB">
        <w:rPr>
          <w:color w:val="000000"/>
          <w:sz w:val="22"/>
          <w:szCs w:val="22"/>
        </w:rPr>
        <w:t>Eq. 1)</w:t>
      </w:r>
    </w:p>
    <w:p w:rsidR="00351B4C" w:rsidRPr="000635AB" w:rsidRDefault="00351B4C" w:rsidP="00351B4C">
      <w:pPr>
        <w:tabs>
          <w:tab w:val="left" w:pos="360"/>
        </w:tabs>
        <w:autoSpaceDE w:val="0"/>
        <w:autoSpaceDN w:val="0"/>
        <w:adjustRightInd w:val="0"/>
        <w:spacing w:after="120"/>
        <w:ind w:left="360"/>
        <w:rPr>
          <w:color w:val="000000"/>
          <w:sz w:val="22"/>
          <w:szCs w:val="22"/>
        </w:rPr>
      </w:pPr>
      <w:r w:rsidRPr="000635AB">
        <w:rPr>
          <w:color w:val="000000"/>
          <w:sz w:val="22"/>
          <w:szCs w:val="22"/>
        </w:rPr>
        <w:t>[40 CFR 60.4212(a) &amp; (c)]</w:t>
      </w:r>
    </w:p>
    <w:p w:rsidR="00351B4C" w:rsidRPr="00DA382B" w:rsidRDefault="00351B4C" w:rsidP="003B60A2">
      <w:pPr>
        <w:numPr>
          <w:ilvl w:val="0"/>
          <w:numId w:val="30"/>
        </w:numPr>
        <w:spacing w:before="120" w:after="120"/>
        <w:ind w:left="360"/>
        <w:rPr>
          <w:rFonts w:eastAsia="Calibri"/>
          <w:sz w:val="22"/>
          <w:szCs w:val="22"/>
        </w:rPr>
      </w:pPr>
      <w:r w:rsidRPr="00DA382B">
        <w:rPr>
          <w:color w:val="000000"/>
          <w:sz w:val="22"/>
          <w:szCs w:val="22"/>
          <w:u w:val="single"/>
        </w:rPr>
        <w:t>Common</w:t>
      </w:r>
      <w:r w:rsidRPr="00DA382B">
        <w:rPr>
          <w:rFonts w:eastAsia="Calibri"/>
          <w:sz w:val="22"/>
          <w:szCs w:val="22"/>
          <w:u w:val="single"/>
        </w:rPr>
        <w:t xml:space="preserve"> Testing </w:t>
      </w:r>
      <w:r w:rsidRPr="00DA382B">
        <w:rPr>
          <w:color w:val="000000"/>
          <w:sz w:val="22"/>
          <w:szCs w:val="22"/>
          <w:u w:val="single"/>
        </w:rPr>
        <w:t>Requirements</w:t>
      </w:r>
      <w:r w:rsidRPr="00DA382B">
        <w:rPr>
          <w:rFonts w:eastAsia="Calibri"/>
          <w:sz w:val="22"/>
          <w:szCs w:val="22"/>
        </w:rPr>
        <w:t xml:space="preserve">.  </w:t>
      </w:r>
      <w:r w:rsidR="00DA382B" w:rsidRPr="00DA382B">
        <w:rPr>
          <w:rFonts w:eastAsia="Calibri"/>
          <w:sz w:val="22"/>
          <w:szCs w:val="22"/>
        </w:rPr>
        <w:t xml:space="preserve">Except as otherwise </w:t>
      </w:r>
      <w:r w:rsidR="00DA382B" w:rsidRPr="00DA382B">
        <w:rPr>
          <w:rFonts w:eastAsia="Calibri"/>
          <w:bCs/>
          <w:sz w:val="22"/>
          <w:szCs w:val="22"/>
        </w:rPr>
        <w:t>specified</w:t>
      </w:r>
      <w:r w:rsidR="00DA382B" w:rsidRPr="00DA382B">
        <w:rPr>
          <w:rFonts w:eastAsia="Calibri"/>
          <w:sz w:val="22"/>
          <w:szCs w:val="22"/>
        </w:rPr>
        <w:t xml:space="preserve"> in this section of the permit, tests shall</w:t>
      </w:r>
      <w:r w:rsidR="00DA382B">
        <w:rPr>
          <w:rFonts w:eastAsia="Calibri"/>
          <w:sz w:val="22"/>
          <w:szCs w:val="22"/>
        </w:rPr>
        <w:t xml:space="preserve"> </w:t>
      </w:r>
      <w:r w:rsidR="00DA382B" w:rsidRPr="00DA382B">
        <w:rPr>
          <w:rFonts w:eastAsia="Calibri"/>
          <w:sz w:val="22"/>
          <w:szCs w:val="22"/>
        </w:rPr>
        <w:t xml:space="preserve">be conducted in accordance with the requirements and procedures specified in Appendix D, Common Testing </w:t>
      </w:r>
      <w:r w:rsidR="00DA382B" w:rsidRPr="00DA382B">
        <w:rPr>
          <w:rFonts w:eastAsia="Calibri"/>
          <w:sz w:val="22"/>
          <w:szCs w:val="22"/>
        </w:rPr>
        <w:lastRenderedPageBreak/>
        <w:t xml:space="preserve">Requirements, of this permit. </w:t>
      </w:r>
      <w:r w:rsidR="00DA382B">
        <w:rPr>
          <w:rFonts w:eastAsia="Calibri"/>
          <w:sz w:val="22"/>
          <w:szCs w:val="22"/>
        </w:rPr>
        <w:t xml:space="preserve"> </w:t>
      </w:r>
      <w:proofErr w:type="gramStart"/>
      <w:r w:rsidR="00DA382B" w:rsidRPr="00DA382B">
        <w:rPr>
          <w:rFonts w:eastAsia="Calibri"/>
          <w:sz w:val="22"/>
          <w:szCs w:val="22"/>
        </w:rPr>
        <w:t>As long as</w:t>
      </w:r>
      <w:proofErr w:type="gramEnd"/>
      <w:r w:rsidR="00DA382B" w:rsidRPr="00DA382B">
        <w:rPr>
          <w:rFonts w:eastAsia="Calibri"/>
          <w:sz w:val="22"/>
          <w:szCs w:val="22"/>
        </w:rPr>
        <w:t xml:space="preserve"> the certification is maintained and the manufacturer's recommendations are followed for maintenance, no stack testing is required.</w:t>
      </w:r>
      <w:r w:rsidRPr="00DA382B">
        <w:rPr>
          <w:rFonts w:eastAsia="Calibri"/>
          <w:sz w:val="22"/>
          <w:szCs w:val="22"/>
        </w:rPr>
        <w:t xml:space="preserve">  [Rule 62-297.310, F.A.C.]</w:t>
      </w:r>
    </w:p>
    <w:p w:rsidR="00351B4C" w:rsidRPr="00351B4C" w:rsidRDefault="00351B4C" w:rsidP="00351B4C">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b/>
          <w:caps/>
          <w:sz w:val="22"/>
        </w:rPr>
      </w:pPr>
      <w:r w:rsidRPr="00351B4C">
        <w:rPr>
          <w:b/>
          <w:caps/>
          <w:sz w:val="22"/>
        </w:rPr>
        <w:t>Records and Reports</w:t>
      </w:r>
    </w:p>
    <w:p w:rsidR="00351B4C" w:rsidRPr="000635AB" w:rsidRDefault="00351B4C" w:rsidP="00351B4C">
      <w:pPr>
        <w:numPr>
          <w:ilvl w:val="0"/>
          <w:numId w:val="30"/>
        </w:numPr>
        <w:spacing w:after="60"/>
        <w:ind w:left="360"/>
        <w:rPr>
          <w:bCs/>
          <w:caps/>
          <w:sz w:val="22"/>
          <w:szCs w:val="22"/>
        </w:rPr>
      </w:pPr>
      <w:r w:rsidRPr="00351B4C">
        <w:rPr>
          <w:color w:val="000000"/>
          <w:sz w:val="22"/>
          <w:szCs w:val="22"/>
          <w:u w:val="single"/>
        </w:rPr>
        <w:t>Testing</w:t>
      </w:r>
      <w:r w:rsidRPr="000635AB">
        <w:rPr>
          <w:bCs/>
          <w:sz w:val="22"/>
          <w:szCs w:val="22"/>
          <w:u w:val="single"/>
        </w:rPr>
        <w:t xml:space="preserve"> Notification</w:t>
      </w:r>
      <w:r w:rsidRPr="000635AB">
        <w:rPr>
          <w:bCs/>
          <w:sz w:val="22"/>
          <w:szCs w:val="22"/>
        </w:rPr>
        <w:t xml:space="preserve">. </w:t>
      </w:r>
      <w:r w:rsidRPr="000635AB">
        <w:rPr>
          <w:bCs/>
          <w:caps/>
          <w:sz w:val="22"/>
          <w:szCs w:val="22"/>
        </w:rPr>
        <w:t xml:space="preserve"> A</w:t>
      </w:r>
      <w:r w:rsidRPr="000635AB">
        <w:rPr>
          <w:bCs/>
          <w:sz w:val="22"/>
          <w:szCs w:val="22"/>
        </w:rPr>
        <w:t xml:space="preserve">t such time that the requirements of </w:t>
      </w:r>
      <w:r w:rsidR="00361BD5" w:rsidRPr="00F74DF7">
        <w:rPr>
          <w:b/>
          <w:color w:val="000000"/>
          <w:sz w:val="22"/>
          <w:szCs w:val="22"/>
        </w:rPr>
        <w:t xml:space="preserve">Specific Condition </w:t>
      </w:r>
      <w:r w:rsidR="00361BD5">
        <w:rPr>
          <w:b/>
          <w:sz w:val="22"/>
        </w:rPr>
        <w:fldChar w:fldCharType="begin"/>
      </w:r>
      <w:r w:rsidR="00361BD5">
        <w:rPr>
          <w:b/>
          <w:color w:val="000000"/>
          <w:sz w:val="22"/>
          <w:szCs w:val="22"/>
        </w:rPr>
        <w:instrText xml:space="preserve"> REF _Ref387225099 \r \h </w:instrText>
      </w:r>
      <w:r w:rsidR="00361BD5">
        <w:rPr>
          <w:b/>
          <w:sz w:val="22"/>
        </w:rPr>
      </w:r>
      <w:r w:rsidR="00361BD5">
        <w:rPr>
          <w:b/>
          <w:sz w:val="22"/>
        </w:rPr>
        <w:fldChar w:fldCharType="separate"/>
      </w:r>
      <w:r w:rsidR="006D04C9">
        <w:rPr>
          <w:b/>
          <w:color w:val="000000"/>
          <w:sz w:val="22"/>
          <w:szCs w:val="22"/>
        </w:rPr>
        <w:t>11</w:t>
      </w:r>
      <w:r w:rsidR="00361BD5">
        <w:rPr>
          <w:b/>
          <w:sz w:val="22"/>
        </w:rPr>
        <w:fldChar w:fldCharType="end"/>
      </w:r>
      <w:r w:rsidRPr="000635AB">
        <w:rPr>
          <w:b/>
          <w:bCs/>
          <w:caps/>
          <w:sz w:val="22"/>
          <w:szCs w:val="22"/>
        </w:rPr>
        <w:t xml:space="preserve">. </w:t>
      </w:r>
      <w:r w:rsidRPr="000635AB">
        <w:rPr>
          <w:bCs/>
          <w:sz w:val="22"/>
          <w:szCs w:val="22"/>
        </w:rPr>
        <w:t xml:space="preserve">become applicable, </w:t>
      </w:r>
      <w:r w:rsidR="00DA382B">
        <w:rPr>
          <w:bCs/>
          <w:sz w:val="22"/>
          <w:szCs w:val="22"/>
        </w:rPr>
        <w:t xml:space="preserve">if at all, </w:t>
      </w:r>
      <w:r w:rsidRPr="000635AB">
        <w:rPr>
          <w:bCs/>
          <w:sz w:val="22"/>
          <w:szCs w:val="22"/>
        </w:rPr>
        <w:t xml:space="preserve">the owner or operator shall notify the compliance authority of the date by which the compliance test must be performed.  </w:t>
      </w:r>
      <w:r w:rsidRPr="000635AB">
        <w:rPr>
          <w:color w:val="000000"/>
          <w:sz w:val="22"/>
          <w:szCs w:val="22"/>
        </w:rPr>
        <w:t>[Rule 62-213.440(1), F.A.C.]</w:t>
      </w:r>
    </w:p>
    <w:p w:rsidR="00351B4C" w:rsidRPr="000635AB" w:rsidRDefault="00351B4C" w:rsidP="00351B4C">
      <w:pPr>
        <w:numPr>
          <w:ilvl w:val="0"/>
          <w:numId w:val="30"/>
        </w:numPr>
        <w:spacing w:after="60"/>
        <w:ind w:left="360"/>
        <w:rPr>
          <w:color w:val="000000"/>
          <w:sz w:val="22"/>
          <w:szCs w:val="22"/>
        </w:rPr>
      </w:pPr>
      <w:r w:rsidRPr="000635AB">
        <w:rPr>
          <w:color w:val="000000"/>
          <w:sz w:val="22"/>
          <w:szCs w:val="22"/>
          <w:u w:val="single"/>
        </w:rPr>
        <w:t>Hours of Operation Records</w:t>
      </w:r>
      <w:r w:rsidRPr="000635AB">
        <w:rPr>
          <w:color w:val="000000"/>
          <w:sz w:val="22"/>
          <w:szCs w:val="22"/>
        </w:rPr>
        <w:t>.  The owner or operator must keep records of the operation of the engine in emergency and non-emergency service that are recorded through the non-resettable hour meter.  The owner or operator must record the time of operation of the engine and the reason the engine was in operation during that time.  [Rule 62-213.440(1), F.A.C. and 40 CFR 60.4214(b)]</w:t>
      </w:r>
    </w:p>
    <w:p w:rsidR="00351B4C" w:rsidRPr="000635AB" w:rsidRDefault="00351B4C" w:rsidP="00351B4C">
      <w:pPr>
        <w:numPr>
          <w:ilvl w:val="0"/>
          <w:numId w:val="30"/>
        </w:numPr>
        <w:spacing w:after="60"/>
        <w:ind w:left="360"/>
        <w:rPr>
          <w:b/>
          <w:bCs/>
          <w:caps/>
          <w:sz w:val="22"/>
          <w:szCs w:val="22"/>
        </w:rPr>
      </w:pPr>
      <w:r w:rsidRPr="000635AB">
        <w:rPr>
          <w:color w:val="000000"/>
          <w:sz w:val="22"/>
          <w:szCs w:val="22"/>
          <w:u w:val="single"/>
        </w:rPr>
        <w:t>Maintenance Records</w:t>
      </w:r>
      <w:r w:rsidRPr="000635AB">
        <w:rPr>
          <w:bCs/>
          <w:caps/>
          <w:sz w:val="22"/>
          <w:szCs w:val="22"/>
        </w:rPr>
        <w:t xml:space="preserve">. </w:t>
      </w:r>
      <w:r w:rsidRPr="000635AB">
        <w:rPr>
          <w:bCs/>
          <w:sz w:val="22"/>
          <w:szCs w:val="22"/>
        </w:rPr>
        <w:t xml:space="preserve"> To demonstrate conformance with the manufacturer’s written instructions for maintaining the certified engine </w:t>
      </w:r>
      <w:r w:rsidRPr="000635AB">
        <w:rPr>
          <w:color w:val="000000"/>
          <w:sz w:val="22"/>
          <w:szCs w:val="22"/>
        </w:rPr>
        <w:t xml:space="preserve">and to document when compliance testing must be performed pursuant to </w:t>
      </w:r>
      <w:r w:rsidR="00361BD5" w:rsidRPr="00F74DF7">
        <w:rPr>
          <w:b/>
          <w:color w:val="000000"/>
          <w:sz w:val="22"/>
          <w:szCs w:val="22"/>
        </w:rPr>
        <w:t>Specific Condition</w:t>
      </w:r>
      <w:r w:rsidR="00361BD5">
        <w:rPr>
          <w:b/>
          <w:color w:val="000000"/>
          <w:sz w:val="22"/>
          <w:szCs w:val="22"/>
        </w:rPr>
        <w:t>s</w:t>
      </w:r>
      <w:r w:rsidR="00361BD5" w:rsidRPr="00F74DF7">
        <w:rPr>
          <w:b/>
          <w:color w:val="000000"/>
          <w:sz w:val="22"/>
          <w:szCs w:val="22"/>
        </w:rPr>
        <w:t xml:space="preserve"> </w:t>
      </w:r>
      <w:r w:rsidR="00361BD5" w:rsidRPr="00F74DF7">
        <w:rPr>
          <w:b/>
          <w:sz w:val="22"/>
        </w:rPr>
        <w:fldChar w:fldCharType="begin"/>
      </w:r>
      <w:r w:rsidR="00361BD5" w:rsidRPr="00F74DF7">
        <w:rPr>
          <w:b/>
          <w:color w:val="000000"/>
          <w:sz w:val="22"/>
          <w:szCs w:val="22"/>
        </w:rPr>
        <w:instrText xml:space="preserve"> REF _Ref387063958 \r \h </w:instrText>
      </w:r>
      <w:r w:rsidR="00361BD5">
        <w:rPr>
          <w:b/>
          <w:sz w:val="22"/>
        </w:rPr>
        <w:instrText xml:space="preserve"> \* MERGEFORMAT </w:instrText>
      </w:r>
      <w:r w:rsidR="00361BD5" w:rsidRPr="00F74DF7">
        <w:rPr>
          <w:b/>
          <w:sz w:val="22"/>
        </w:rPr>
      </w:r>
      <w:r w:rsidR="00361BD5" w:rsidRPr="00F74DF7">
        <w:rPr>
          <w:b/>
          <w:sz w:val="22"/>
        </w:rPr>
        <w:fldChar w:fldCharType="separate"/>
      </w:r>
      <w:r w:rsidR="006D04C9">
        <w:rPr>
          <w:b/>
          <w:color w:val="000000"/>
          <w:sz w:val="22"/>
          <w:szCs w:val="22"/>
        </w:rPr>
        <w:t>10</w:t>
      </w:r>
      <w:r w:rsidR="00361BD5" w:rsidRPr="00F74DF7">
        <w:rPr>
          <w:b/>
          <w:sz w:val="22"/>
        </w:rPr>
        <w:fldChar w:fldCharType="end"/>
      </w:r>
      <w:r w:rsidRPr="000635AB">
        <w:rPr>
          <w:color w:val="000000"/>
          <w:sz w:val="22"/>
          <w:szCs w:val="22"/>
        </w:rPr>
        <w:t xml:space="preserve"> &amp; </w:t>
      </w:r>
      <w:r w:rsidR="00361BD5">
        <w:rPr>
          <w:b/>
          <w:sz w:val="22"/>
        </w:rPr>
        <w:fldChar w:fldCharType="begin"/>
      </w:r>
      <w:r w:rsidR="00361BD5">
        <w:rPr>
          <w:b/>
          <w:color w:val="000000"/>
          <w:sz w:val="22"/>
          <w:szCs w:val="22"/>
        </w:rPr>
        <w:instrText xml:space="preserve"> REF _Ref387225099 \r \h </w:instrText>
      </w:r>
      <w:r w:rsidR="00361BD5">
        <w:rPr>
          <w:b/>
          <w:sz w:val="22"/>
        </w:rPr>
      </w:r>
      <w:r w:rsidR="00361BD5">
        <w:rPr>
          <w:b/>
          <w:sz w:val="22"/>
        </w:rPr>
        <w:fldChar w:fldCharType="separate"/>
      </w:r>
      <w:r w:rsidR="006D04C9">
        <w:rPr>
          <w:b/>
          <w:color w:val="000000"/>
          <w:sz w:val="22"/>
          <w:szCs w:val="22"/>
        </w:rPr>
        <w:t>11</w:t>
      </w:r>
      <w:r w:rsidR="00361BD5">
        <w:rPr>
          <w:b/>
          <w:sz w:val="22"/>
        </w:rPr>
        <w:fldChar w:fldCharType="end"/>
      </w:r>
      <w:r w:rsidRPr="000635AB">
        <w:rPr>
          <w:color w:val="000000"/>
          <w:sz w:val="22"/>
          <w:szCs w:val="22"/>
        </w:rPr>
        <w:t>, the owner or operator must keep the following records:</w:t>
      </w:r>
    </w:p>
    <w:p w:rsidR="00351B4C" w:rsidRPr="000635AB" w:rsidRDefault="00351B4C" w:rsidP="00351B4C">
      <w:pPr>
        <w:tabs>
          <w:tab w:val="left" w:pos="720"/>
        </w:tabs>
        <w:ind w:left="360"/>
        <w:rPr>
          <w:color w:val="000000"/>
          <w:sz w:val="22"/>
          <w:szCs w:val="22"/>
        </w:rPr>
      </w:pPr>
      <w:r w:rsidRPr="000635AB">
        <w:rPr>
          <w:color w:val="000000"/>
          <w:sz w:val="22"/>
          <w:szCs w:val="22"/>
        </w:rPr>
        <w:t>a.</w:t>
      </w:r>
      <w:r w:rsidRPr="000635AB">
        <w:rPr>
          <w:color w:val="000000"/>
          <w:sz w:val="22"/>
          <w:szCs w:val="22"/>
        </w:rPr>
        <w:tab/>
        <w:t>Engine manufacturer data indicating compliance with the standards.</w:t>
      </w:r>
    </w:p>
    <w:p w:rsidR="00351B4C" w:rsidRPr="000635AB" w:rsidRDefault="00351B4C" w:rsidP="00351B4C">
      <w:pPr>
        <w:tabs>
          <w:tab w:val="left" w:pos="720"/>
        </w:tabs>
        <w:ind w:left="360"/>
        <w:rPr>
          <w:color w:val="000000"/>
          <w:sz w:val="22"/>
          <w:szCs w:val="22"/>
        </w:rPr>
      </w:pPr>
      <w:r w:rsidRPr="000635AB">
        <w:rPr>
          <w:color w:val="000000"/>
          <w:sz w:val="22"/>
          <w:szCs w:val="22"/>
        </w:rPr>
        <w:t>b.</w:t>
      </w:r>
      <w:r w:rsidRPr="000635AB">
        <w:rPr>
          <w:color w:val="000000"/>
          <w:sz w:val="22"/>
          <w:szCs w:val="22"/>
        </w:rPr>
        <w:tab/>
        <w:t>A copy of the manufacturer’s written instructions for operation and maintenance of the certified engine.</w:t>
      </w:r>
    </w:p>
    <w:p w:rsidR="00351B4C" w:rsidRPr="000635AB" w:rsidRDefault="00351B4C" w:rsidP="00351B4C">
      <w:pPr>
        <w:tabs>
          <w:tab w:val="left" w:pos="720"/>
        </w:tabs>
        <w:ind w:left="720" w:hanging="360"/>
        <w:rPr>
          <w:color w:val="000000"/>
          <w:sz w:val="22"/>
          <w:szCs w:val="22"/>
        </w:rPr>
      </w:pPr>
      <w:r w:rsidRPr="000635AB">
        <w:rPr>
          <w:color w:val="000000"/>
          <w:sz w:val="22"/>
          <w:szCs w:val="22"/>
        </w:rPr>
        <w:t>c.</w:t>
      </w:r>
      <w:r w:rsidRPr="000635AB">
        <w:rPr>
          <w:color w:val="000000"/>
          <w:sz w:val="22"/>
          <w:szCs w:val="22"/>
        </w:rPr>
        <w:tab/>
        <w:t>A written maintenance log detailing the date and type of maintenance performed on the engine, as well as any deviations from the manufacturer’s written instructions.</w:t>
      </w:r>
    </w:p>
    <w:p w:rsidR="00351B4C" w:rsidRPr="000635AB" w:rsidRDefault="00351B4C" w:rsidP="00351B4C">
      <w:pPr>
        <w:tabs>
          <w:tab w:val="left" w:pos="720"/>
        </w:tabs>
        <w:spacing w:after="120"/>
        <w:ind w:left="360"/>
        <w:rPr>
          <w:color w:val="000000"/>
          <w:sz w:val="22"/>
          <w:szCs w:val="22"/>
        </w:rPr>
      </w:pPr>
      <w:r w:rsidRPr="000635AB">
        <w:rPr>
          <w:color w:val="000000"/>
          <w:sz w:val="22"/>
          <w:szCs w:val="22"/>
        </w:rPr>
        <w:t xml:space="preserve">[Rule 62-213.440(1), F.A.C.; and, </w:t>
      </w:r>
      <w:r w:rsidRPr="000635AB">
        <w:rPr>
          <w:rFonts w:eastAsia="Calibri"/>
          <w:bCs/>
          <w:caps/>
          <w:sz w:val="22"/>
          <w:szCs w:val="22"/>
        </w:rPr>
        <w:t>40 CFR 60.4211(</w:t>
      </w:r>
      <w:r w:rsidRPr="000635AB">
        <w:rPr>
          <w:rFonts w:eastAsia="Calibri"/>
          <w:bCs/>
          <w:sz w:val="22"/>
          <w:szCs w:val="22"/>
        </w:rPr>
        <w:t>c</w:t>
      </w:r>
      <w:r w:rsidRPr="000635AB">
        <w:rPr>
          <w:rFonts w:eastAsia="Calibri"/>
          <w:bCs/>
          <w:caps/>
          <w:sz w:val="22"/>
          <w:szCs w:val="22"/>
        </w:rPr>
        <w:t xml:space="preserve">) &amp; </w:t>
      </w:r>
      <w:r w:rsidRPr="000635AB">
        <w:rPr>
          <w:rFonts w:eastAsia="Calibri"/>
          <w:bCs/>
          <w:sz w:val="22"/>
          <w:szCs w:val="22"/>
        </w:rPr>
        <w:t>(g)</w:t>
      </w:r>
      <w:r w:rsidRPr="000635AB">
        <w:rPr>
          <w:color w:val="000000"/>
          <w:sz w:val="22"/>
          <w:szCs w:val="22"/>
        </w:rPr>
        <w:t>]</w:t>
      </w:r>
    </w:p>
    <w:p w:rsidR="00351B4C" w:rsidRDefault="00351B4C" w:rsidP="00351B4C">
      <w:pPr>
        <w:numPr>
          <w:ilvl w:val="0"/>
          <w:numId w:val="30"/>
        </w:numPr>
        <w:spacing w:after="60"/>
        <w:ind w:left="360"/>
        <w:rPr>
          <w:sz w:val="22"/>
          <w:szCs w:val="22"/>
        </w:rPr>
      </w:pPr>
      <w:r w:rsidRPr="000635AB">
        <w:rPr>
          <w:sz w:val="22"/>
          <w:szCs w:val="22"/>
          <w:u w:val="single"/>
        </w:rPr>
        <w:t xml:space="preserve">Other </w:t>
      </w:r>
      <w:r w:rsidRPr="00351B4C">
        <w:rPr>
          <w:color w:val="000000"/>
          <w:sz w:val="22"/>
          <w:szCs w:val="22"/>
          <w:u w:val="single"/>
        </w:rPr>
        <w:t>Reporting</w:t>
      </w:r>
      <w:r w:rsidRPr="000635AB">
        <w:rPr>
          <w:sz w:val="22"/>
          <w:szCs w:val="22"/>
          <w:u w:val="single"/>
        </w:rPr>
        <w:t xml:space="preserve"> Requirements</w:t>
      </w:r>
      <w:r w:rsidRPr="000635AB">
        <w:rPr>
          <w:sz w:val="22"/>
          <w:szCs w:val="22"/>
        </w:rPr>
        <w:t xml:space="preserve">.  See </w:t>
      </w:r>
      <w:r w:rsidRPr="000635AB">
        <w:rPr>
          <w:bCs/>
          <w:sz w:val="22"/>
          <w:szCs w:val="22"/>
        </w:rPr>
        <w:t xml:space="preserve">Appendix </w:t>
      </w:r>
      <w:r w:rsidR="00502093">
        <w:rPr>
          <w:bCs/>
          <w:sz w:val="22"/>
          <w:szCs w:val="22"/>
        </w:rPr>
        <w:t>C</w:t>
      </w:r>
      <w:r w:rsidRPr="000635AB">
        <w:rPr>
          <w:bCs/>
          <w:sz w:val="22"/>
          <w:szCs w:val="22"/>
        </w:rPr>
        <w:t xml:space="preserve">, </w:t>
      </w:r>
      <w:r w:rsidR="00502093">
        <w:rPr>
          <w:bCs/>
          <w:sz w:val="22"/>
          <w:szCs w:val="22"/>
        </w:rPr>
        <w:t>Common Conditions</w:t>
      </w:r>
      <w:r w:rsidRPr="000635AB">
        <w:rPr>
          <w:sz w:val="22"/>
          <w:szCs w:val="22"/>
        </w:rPr>
        <w:t>, for additional reporting requirements.  [Rule 62-213.440(1)(b), F.A.C.]</w:t>
      </w:r>
    </w:p>
    <w:bookmarkEnd w:id="50"/>
    <w:p w:rsidR="00351B4C" w:rsidRPr="00351B4C" w:rsidRDefault="00351B4C" w:rsidP="00351B4C">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b/>
          <w:caps/>
          <w:sz w:val="22"/>
        </w:rPr>
      </w:pPr>
      <w:r w:rsidRPr="00351B4C">
        <w:rPr>
          <w:b/>
          <w:caps/>
          <w:sz w:val="22"/>
        </w:rPr>
        <w:t>General Provisions</w:t>
      </w:r>
    </w:p>
    <w:p w:rsidR="00351B4C" w:rsidRPr="000635AB" w:rsidRDefault="00351B4C" w:rsidP="00351B4C">
      <w:pPr>
        <w:numPr>
          <w:ilvl w:val="0"/>
          <w:numId w:val="30"/>
        </w:numPr>
        <w:spacing w:after="60"/>
        <w:ind w:left="360"/>
        <w:rPr>
          <w:color w:val="000000"/>
          <w:sz w:val="22"/>
          <w:szCs w:val="22"/>
        </w:rPr>
      </w:pPr>
      <w:r w:rsidRPr="000635AB">
        <w:rPr>
          <w:sz w:val="22"/>
          <w:szCs w:val="22"/>
          <w:u w:val="single"/>
        </w:rPr>
        <w:t>40 CFR 60, Subpart A - General Provisions</w:t>
      </w:r>
      <w:r w:rsidRPr="000635AB">
        <w:rPr>
          <w:sz w:val="22"/>
          <w:szCs w:val="22"/>
        </w:rPr>
        <w:t xml:space="preserve">.  The owner or operator shall comply with the applicable requirements of 40 CFR 60 Subpart A, General Provisions, as specified below.  </w:t>
      </w:r>
      <w:hyperlink r:id="rId39" w:history="1">
        <w:r w:rsidRPr="000635AB">
          <w:rPr>
            <w:color w:val="0000FF"/>
            <w:sz w:val="22"/>
            <w:u w:val="single"/>
          </w:rPr>
          <w:t>Link to 40 CFR 60, Subpart A - General Provisions</w:t>
        </w:r>
      </w:hyperlink>
      <w:r w:rsidRPr="000635AB">
        <w:rPr>
          <w:sz w:val="22"/>
          <w:szCs w:val="22"/>
        </w:rPr>
        <w:t xml:space="preserve">. </w:t>
      </w:r>
      <w:r w:rsidRPr="000635AB">
        <w:rPr>
          <w:color w:val="000000"/>
          <w:sz w:val="22"/>
          <w:szCs w:val="22"/>
        </w:rPr>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8"/>
        <w:gridCol w:w="6294"/>
      </w:tblGrid>
      <w:tr w:rsidR="00351B4C" w:rsidRPr="000635AB" w:rsidTr="00B05E51">
        <w:trPr>
          <w:tblHeader/>
        </w:trPr>
        <w:tc>
          <w:tcPr>
            <w:tcW w:w="3330" w:type="dxa"/>
            <w:tcBorders>
              <w:top w:val="single" w:sz="12" w:space="0" w:color="auto"/>
              <w:left w:val="single" w:sz="12" w:space="0" w:color="auto"/>
              <w:bottom w:val="single" w:sz="12" w:space="0" w:color="auto"/>
            </w:tcBorders>
            <w:shd w:val="clear" w:color="auto" w:fill="B8CCE4"/>
            <w:vAlign w:val="center"/>
            <w:hideMark/>
          </w:tcPr>
          <w:p w:rsidR="00351B4C" w:rsidRPr="000635AB" w:rsidRDefault="00351B4C" w:rsidP="00D837FB">
            <w:pPr>
              <w:tabs>
                <w:tab w:val="left" w:pos="360"/>
                <w:tab w:val="left" w:pos="720"/>
                <w:tab w:val="left" w:pos="1080"/>
                <w:tab w:val="left" w:pos="1440"/>
              </w:tabs>
              <w:autoSpaceDE w:val="0"/>
              <w:autoSpaceDN w:val="0"/>
              <w:adjustRightInd w:val="0"/>
              <w:jc w:val="center"/>
              <w:rPr>
                <w:b/>
                <w:sz w:val="22"/>
                <w:szCs w:val="22"/>
              </w:rPr>
            </w:pPr>
            <w:r w:rsidRPr="000635AB">
              <w:rPr>
                <w:b/>
                <w:sz w:val="22"/>
                <w:szCs w:val="22"/>
              </w:rPr>
              <w:t>General Provisions Citation</w:t>
            </w:r>
          </w:p>
        </w:tc>
        <w:tc>
          <w:tcPr>
            <w:tcW w:w="6390" w:type="dxa"/>
            <w:tcBorders>
              <w:top w:val="single" w:sz="12" w:space="0" w:color="auto"/>
              <w:bottom w:val="single" w:sz="12" w:space="0" w:color="auto"/>
              <w:right w:val="single" w:sz="12" w:space="0" w:color="auto"/>
            </w:tcBorders>
            <w:shd w:val="clear" w:color="auto" w:fill="B8CCE4"/>
            <w:vAlign w:val="center"/>
            <w:hideMark/>
          </w:tcPr>
          <w:p w:rsidR="00351B4C" w:rsidRPr="000635AB" w:rsidRDefault="00351B4C" w:rsidP="00D837FB">
            <w:pPr>
              <w:tabs>
                <w:tab w:val="left" w:pos="360"/>
                <w:tab w:val="left" w:pos="720"/>
                <w:tab w:val="left" w:pos="1080"/>
                <w:tab w:val="left" w:pos="1440"/>
              </w:tabs>
              <w:autoSpaceDE w:val="0"/>
              <w:autoSpaceDN w:val="0"/>
              <w:adjustRightInd w:val="0"/>
              <w:rPr>
                <w:b/>
                <w:sz w:val="22"/>
                <w:szCs w:val="22"/>
              </w:rPr>
            </w:pPr>
            <w:r w:rsidRPr="000635AB">
              <w:rPr>
                <w:b/>
                <w:sz w:val="22"/>
                <w:szCs w:val="22"/>
              </w:rPr>
              <w:t>Subject of Citation</w:t>
            </w:r>
          </w:p>
        </w:tc>
      </w:tr>
      <w:tr w:rsidR="00351B4C" w:rsidRPr="000635AB" w:rsidTr="00B05E51">
        <w:tc>
          <w:tcPr>
            <w:tcW w:w="3330" w:type="dxa"/>
            <w:tcBorders>
              <w:top w:val="single" w:sz="12" w:space="0" w:color="auto"/>
              <w:left w:val="single" w:sz="12" w:space="0" w:color="auto"/>
            </w:tcBorders>
            <w:shd w:val="clear" w:color="auto" w:fill="auto"/>
            <w:hideMark/>
          </w:tcPr>
          <w:p w:rsidR="00351B4C" w:rsidRPr="000635AB" w:rsidRDefault="00351B4C" w:rsidP="00D837FB">
            <w:pPr>
              <w:tabs>
                <w:tab w:val="left" w:pos="360"/>
                <w:tab w:val="left" w:pos="720"/>
                <w:tab w:val="left" w:pos="1080"/>
                <w:tab w:val="left" w:pos="1440"/>
              </w:tabs>
              <w:jc w:val="center"/>
              <w:rPr>
                <w:sz w:val="22"/>
                <w:szCs w:val="22"/>
              </w:rPr>
            </w:pPr>
            <w:r w:rsidRPr="000635AB">
              <w:rPr>
                <w:sz w:val="22"/>
                <w:szCs w:val="22"/>
              </w:rPr>
              <w:t>§ 60.1</w:t>
            </w:r>
          </w:p>
        </w:tc>
        <w:tc>
          <w:tcPr>
            <w:tcW w:w="6390" w:type="dxa"/>
            <w:tcBorders>
              <w:top w:val="single" w:sz="12" w:space="0" w:color="auto"/>
              <w:right w:val="single" w:sz="12" w:space="0" w:color="auto"/>
            </w:tcBorders>
            <w:shd w:val="clear" w:color="auto" w:fill="auto"/>
            <w:hideMark/>
          </w:tcPr>
          <w:p w:rsidR="00351B4C" w:rsidRPr="000635AB" w:rsidRDefault="00351B4C" w:rsidP="00D837FB">
            <w:pPr>
              <w:tabs>
                <w:tab w:val="left" w:pos="360"/>
                <w:tab w:val="left" w:pos="720"/>
                <w:tab w:val="left" w:pos="1080"/>
                <w:tab w:val="left" w:pos="1440"/>
              </w:tabs>
              <w:autoSpaceDE w:val="0"/>
              <w:autoSpaceDN w:val="0"/>
              <w:adjustRightInd w:val="0"/>
              <w:rPr>
                <w:sz w:val="22"/>
                <w:szCs w:val="22"/>
              </w:rPr>
            </w:pPr>
            <w:r w:rsidRPr="000635AB">
              <w:rPr>
                <w:sz w:val="22"/>
                <w:szCs w:val="22"/>
              </w:rPr>
              <w:t>General applicability of the General Provisions</w:t>
            </w:r>
          </w:p>
        </w:tc>
      </w:tr>
      <w:tr w:rsidR="00351B4C" w:rsidRPr="000635AB" w:rsidTr="00B05E51">
        <w:tc>
          <w:tcPr>
            <w:tcW w:w="3330" w:type="dxa"/>
            <w:tcBorders>
              <w:left w:val="single" w:sz="12" w:space="0" w:color="auto"/>
            </w:tcBorders>
            <w:shd w:val="clear" w:color="auto" w:fill="auto"/>
            <w:hideMark/>
          </w:tcPr>
          <w:p w:rsidR="00351B4C" w:rsidRPr="000635AB" w:rsidRDefault="00351B4C" w:rsidP="00D837FB">
            <w:pPr>
              <w:tabs>
                <w:tab w:val="left" w:pos="360"/>
                <w:tab w:val="left" w:pos="720"/>
                <w:tab w:val="left" w:pos="1080"/>
                <w:tab w:val="left" w:pos="1440"/>
              </w:tabs>
              <w:jc w:val="center"/>
              <w:rPr>
                <w:sz w:val="22"/>
                <w:szCs w:val="22"/>
              </w:rPr>
            </w:pPr>
            <w:r w:rsidRPr="000635AB">
              <w:rPr>
                <w:sz w:val="22"/>
                <w:szCs w:val="22"/>
              </w:rPr>
              <w:t>§ 60.2</w:t>
            </w:r>
          </w:p>
        </w:tc>
        <w:tc>
          <w:tcPr>
            <w:tcW w:w="6390" w:type="dxa"/>
            <w:tcBorders>
              <w:right w:val="single" w:sz="12" w:space="0" w:color="auto"/>
            </w:tcBorders>
            <w:shd w:val="clear" w:color="auto" w:fill="auto"/>
            <w:hideMark/>
          </w:tcPr>
          <w:p w:rsidR="00351B4C" w:rsidRPr="000635AB" w:rsidRDefault="00351B4C" w:rsidP="00D837FB">
            <w:pPr>
              <w:tabs>
                <w:tab w:val="left" w:pos="360"/>
                <w:tab w:val="left" w:pos="720"/>
                <w:tab w:val="left" w:pos="1080"/>
                <w:tab w:val="left" w:pos="1440"/>
              </w:tabs>
              <w:autoSpaceDE w:val="0"/>
              <w:autoSpaceDN w:val="0"/>
              <w:adjustRightInd w:val="0"/>
              <w:rPr>
                <w:sz w:val="22"/>
                <w:szCs w:val="22"/>
              </w:rPr>
            </w:pPr>
            <w:r w:rsidRPr="000635AB">
              <w:rPr>
                <w:sz w:val="22"/>
                <w:szCs w:val="22"/>
              </w:rPr>
              <w:t>Definitions (see also § 60.4219)</w:t>
            </w:r>
          </w:p>
        </w:tc>
      </w:tr>
      <w:tr w:rsidR="00351B4C" w:rsidRPr="000635AB" w:rsidTr="00B05E51">
        <w:tc>
          <w:tcPr>
            <w:tcW w:w="3330" w:type="dxa"/>
            <w:tcBorders>
              <w:left w:val="single" w:sz="12" w:space="0" w:color="auto"/>
            </w:tcBorders>
            <w:shd w:val="clear" w:color="auto" w:fill="auto"/>
            <w:hideMark/>
          </w:tcPr>
          <w:p w:rsidR="00351B4C" w:rsidRPr="000635AB" w:rsidRDefault="00351B4C" w:rsidP="00D837FB">
            <w:pPr>
              <w:tabs>
                <w:tab w:val="left" w:pos="360"/>
                <w:tab w:val="left" w:pos="720"/>
                <w:tab w:val="left" w:pos="1080"/>
                <w:tab w:val="left" w:pos="1440"/>
              </w:tabs>
              <w:jc w:val="center"/>
              <w:rPr>
                <w:sz w:val="22"/>
                <w:szCs w:val="22"/>
              </w:rPr>
            </w:pPr>
            <w:r w:rsidRPr="000635AB">
              <w:rPr>
                <w:sz w:val="22"/>
                <w:szCs w:val="22"/>
              </w:rPr>
              <w:t>§ 60.3</w:t>
            </w:r>
          </w:p>
        </w:tc>
        <w:tc>
          <w:tcPr>
            <w:tcW w:w="6390" w:type="dxa"/>
            <w:tcBorders>
              <w:right w:val="single" w:sz="12" w:space="0" w:color="auto"/>
            </w:tcBorders>
            <w:shd w:val="clear" w:color="auto" w:fill="FFFFFF"/>
            <w:hideMark/>
          </w:tcPr>
          <w:p w:rsidR="00351B4C" w:rsidRPr="000635AB" w:rsidRDefault="00351B4C" w:rsidP="00D837FB">
            <w:pPr>
              <w:tabs>
                <w:tab w:val="left" w:pos="360"/>
                <w:tab w:val="left" w:pos="720"/>
                <w:tab w:val="left" w:pos="1080"/>
                <w:tab w:val="left" w:pos="1440"/>
              </w:tabs>
              <w:autoSpaceDE w:val="0"/>
              <w:autoSpaceDN w:val="0"/>
              <w:adjustRightInd w:val="0"/>
              <w:rPr>
                <w:sz w:val="22"/>
                <w:szCs w:val="22"/>
              </w:rPr>
            </w:pPr>
            <w:r w:rsidRPr="000635AB">
              <w:rPr>
                <w:sz w:val="22"/>
                <w:szCs w:val="22"/>
              </w:rPr>
              <w:t>Units and abbreviations</w:t>
            </w:r>
          </w:p>
        </w:tc>
      </w:tr>
      <w:tr w:rsidR="00351B4C" w:rsidRPr="000635AB" w:rsidTr="00B05E51">
        <w:tc>
          <w:tcPr>
            <w:tcW w:w="3330" w:type="dxa"/>
            <w:tcBorders>
              <w:left w:val="single" w:sz="12" w:space="0" w:color="auto"/>
            </w:tcBorders>
            <w:shd w:val="clear" w:color="auto" w:fill="auto"/>
            <w:hideMark/>
          </w:tcPr>
          <w:p w:rsidR="00351B4C" w:rsidRPr="000635AB" w:rsidRDefault="00351B4C" w:rsidP="00D837FB">
            <w:pPr>
              <w:tabs>
                <w:tab w:val="left" w:pos="360"/>
                <w:tab w:val="left" w:pos="720"/>
                <w:tab w:val="left" w:pos="1080"/>
                <w:tab w:val="left" w:pos="1440"/>
              </w:tabs>
              <w:jc w:val="center"/>
              <w:rPr>
                <w:sz w:val="22"/>
                <w:szCs w:val="22"/>
              </w:rPr>
            </w:pPr>
            <w:r w:rsidRPr="000635AB">
              <w:rPr>
                <w:sz w:val="22"/>
                <w:szCs w:val="22"/>
              </w:rPr>
              <w:t>§ 60.4</w:t>
            </w:r>
          </w:p>
        </w:tc>
        <w:tc>
          <w:tcPr>
            <w:tcW w:w="6390" w:type="dxa"/>
            <w:tcBorders>
              <w:right w:val="single" w:sz="12" w:space="0" w:color="auto"/>
            </w:tcBorders>
            <w:shd w:val="clear" w:color="auto" w:fill="auto"/>
            <w:hideMark/>
          </w:tcPr>
          <w:p w:rsidR="00351B4C" w:rsidRPr="000635AB" w:rsidRDefault="00351B4C" w:rsidP="00D837FB">
            <w:pPr>
              <w:tabs>
                <w:tab w:val="left" w:pos="360"/>
                <w:tab w:val="left" w:pos="720"/>
                <w:tab w:val="left" w:pos="1080"/>
                <w:tab w:val="left" w:pos="1440"/>
              </w:tabs>
              <w:autoSpaceDE w:val="0"/>
              <w:autoSpaceDN w:val="0"/>
              <w:adjustRightInd w:val="0"/>
              <w:rPr>
                <w:sz w:val="22"/>
                <w:szCs w:val="22"/>
              </w:rPr>
            </w:pPr>
            <w:r w:rsidRPr="000635AB">
              <w:rPr>
                <w:sz w:val="22"/>
                <w:szCs w:val="22"/>
              </w:rPr>
              <w:t>Address</w:t>
            </w:r>
          </w:p>
        </w:tc>
      </w:tr>
      <w:tr w:rsidR="00351B4C" w:rsidRPr="000635AB" w:rsidTr="00B05E51">
        <w:tc>
          <w:tcPr>
            <w:tcW w:w="3330" w:type="dxa"/>
            <w:tcBorders>
              <w:left w:val="single" w:sz="12" w:space="0" w:color="auto"/>
            </w:tcBorders>
            <w:shd w:val="clear" w:color="auto" w:fill="auto"/>
            <w:hideMark/>
          </w:tcPr>
          <w:p w:rsidR="00351B4C" w:rsidRPr="000635AB" w:rsidRDefault="00351B4C" w:rsidP="00D837FB">
            <w:pPr>
              <w:tabs>
                <w:tab w:val="left" w:pos="360"/>
                <w:tab w:val="left" w:pos="720"/>
                <w:tab w:val="left" w:pos="1080"/>
                <w:tab w:val="left" w:pos="1440"/>
              </w:tabs>
              <w:jc w:val="center"/>
              <w:rPr>
                <w:sz w:val="22"/>
                <w:szCs w:val="22"/>
              </w:rPr>
            </w:pPr>
            <w:r w:rsidRPr="000635AB">
              <w:rPr>
                <w:sz w:val="22"/>
                <w:szCs w:val="22"/>
              </w:rPr>
              <w:t>§ 60.5</w:t>
            </w:r>
          </w:p>
        </w:tc>
        <w:tc>
          <w:tcPr>
            <w:tcW w:w="6390" w:type="dxa"/>
            <w:tcBorders>
              <w:right w:val="single" w:sz="12" w:space="0" w:color="auto"/>
            </w:tcBorders>
            <w:shd w:val="clear" w:color="auto" w:fill="auto"/>
            <w:hideMark/>
          </w:tcPr>
          <w:p w:rsidR="00351B4C" w:rsidRPr="000635AB" w:rsidRDefault="00351B4C" w:rsidP="00D837FB">
            <w:pPr>
              <w:tabs>
                <w:tab w:val="left" w:pos="360"/>
                <w:tab w:val="left" w:pos="720"/>
                <w:tab w:val="left" w:pos="1080"/>
                <w:tab w:val="left" w:pos="1440"/>
              </w:tabs>
              <w:autoSpaceDE w:val="0"/>
              <w:autoSpaceDN w:val="0"/>
              <w:adjustRightInd w:val="0"/>
              <w:rPr>
                <w:sz w:val="22"/>
                <w:szCs w:val="22"/>
              </w:rPr>
            </w:pPr>
            <w:r w:rsidRPr="000635AB">
              <w:rPr>
                <w:sz w:val="22"/>
                <w:szCs w:val="22"/>
              </w:rPr>
              <w:t>Determination of construction or modification</w:t>
            </w:r>
          </w:p>
        </w:tc>
      </w:tr>
      <w:tr w:rsidR="00351B4C" w:rsidRPr="000635AB" w:rsidTr="00B05E51">
        <w:tc>
          <w:tcPr>
            <w:tcW w:w="3330" w:type="dxa"/>
            <w:tcBorders>
              <w:left w:val="single" w:sz="12" w:space="0" w:color="auto"/>
            </w:tcBorders>
            <w:shd w:val="clear" w:color="auto" w:fill="auto"/>
            <w:hideMark/>
          </w:tcPr>
          <w:p w:rsidR="00351B4C" w:rsidRPr="000635AB" w:rsidRDefault="00351B4C" w:rsidP="00D837FB">
            <w:pPr>
              <w:tabs>
                <w:tab w:val="left" w:pos="360"/>
                <w:tab w:val="left" w:pos="720"/>
                <w:tab w:val="left" w:pos="1080"/>
                <w:tab w:val="left" w:pos="1440"/>
              </w:tabs>
              <w:jc w:val="center"/>
              <w:rPr>
                <w:sz w:val="22"/>
                <w:szCs w:val="22"/>
              </w:rPr>
            </w:pPr>
            <w:r w:rsidRPr="000635AB">
              <w:rPr>
                <w:sz w:val="22"/>
                <w:szCs w:val="22"/>
              </w:rPr>
              <w:t>§ 60.6</w:t>
            </w:r>
          </w:p>
        </w:tc>
        <w:tc>
          <w:tcPr>
            <w:tcW w:w="6390" w:type="dxa"/>
            <w:tcBorders>
              <w:right w:val="single" w:sz="12" w:space="0" w:color="auto"/>
            </w:tcBorders>
            <w:shd w:val="clear" w:color="auto" w:fill="auto"/>
            <w:hideMark/>
          </w:tcPr>
          <w:p w:rsidR="00351B4C" w:rsidRPr="000635AB" w:rsidRDefault="00351B4C" w:rsidP="00D837FB">
            <w:pPr>
              <w:tabs>
                <w:tab w:val="left" w:pos="360"/>
                <w:tab w:val="left" w:pos="720"/>
                <w:tab w:val="left" w:pos="1080"/>
                <w:tab w:val="left" w:pos="1440"/>
              </w:tabs>
              <w:autoSpaceDE w:val="0"/>
              <w:autoSpaceDN w:val="0"/>
              <w:adjustRightInd w:val="0"/>
              <w:rPr>
                <w:sz w:val="22"/>
                <w:szCs w:val="22"/>
              </w:rPr>
            </w:pPr>
            <w:r w:rsidRPr="000635AB">
              <w:rPr>
                <w:sz w:val="22"/>
                <w:szCs w:val="22"/>
              </w:rPr>
              <w:t>Review of plans</w:t>
            </w:r>
          </w:p>
        </w:tc>
      </w:tr>
      <w:tr w:rsidR="00351B4C" w:rsidRPr="000635AB" w:rsidTr="00B05E51">
        <w:tc>
          <w:tcPr>
            <w:tcW w:w="3330" w:type="dxa"/>
            <w:tcBorders>
              <w:left w:val="single" w:sz="12" w:space="0" w:color="auto"/>
            </w:tcBorders>
            <w:shd w:val="clear" w:color="auto" w:fill="auto"/>
            <w:hideMark/>
          </w:tcPr>
          <w:p w:rsidR="00351B4C" w:rsidRPr="000635AB" w:rsidRDefault="00351B4C" w:rsidP="00D837FB">
            <w:pPr>
              <w:tabs>
                <w:tab w:val="left" w:pos="360"/>
                <w:tab w:val="left" w:pos="720"/>
                <w:tab w:val="left" w:pos="1080"/>
                <w:tab w:val="left" w:pos="1440"/>
              </w:tabs>
              <w:jc w:val="center"/>
              <w:rPr>
                <w:sz w:val="22"/>
                <w:szCs w:val="22"/>
              </w:rPr>
            </w:pPr>
            <w:r w:rsidRPr="000635AB">
              <w:rPr>
                <w:sz w:val="22"/>
                <w:szCs w:val="22"/>
              </w:rPr>
              <w:t>§ 60.9</w:t>
            </w:r>
          </w:p>
        </w:tc>
        <w:tc>
          <w:tcPr>
            <w:tcW w:w="6390" w:type="dxa"/>
            <w:tcBorders>
              <w:right w:val="single" w:sz="12" w:space="0" w:color="auto"/>
            </w:tcBorders>
            <w:shd w:val="clear" w:color="auto" w:fill="auto"/>
            <w:hideMark/>
          </w:tcPr>
          <w:p w:rsidR="00351B4C" w:rsidRPr="000635AB" w:rsidRDefault="00351B4C" w:rsidP="00D837FB">
            <w:pPr>
              <w:tabs>
                <w:tab w:val="left" w:pos="360"/>
                <w:tab w:val="left" w:pos="720"/>
                <w:tab w:val="left" w:pos="1080"/>
                <w:tab w:val="left" w:pos="1440"/>
              </w:tabs>
              <w:autoSpaceDE w:val="0"/>
              <w:autoSpaceDN w:val="0"/>
              <w:adjustRightInd w:val="0"/>
              <w:rPr>
                <w:sz w:val="22"/>
                <w:szCs w:val="22"/>
              </w:rPr>
            </w:pPr>
            <w:r w:rsidRPr="000635AB">
              <w:rPr>
                <w:sz w:val="22"/>
                <w:szCs w:val="22"/>
              </w:rPr>
              <w:t>Availability of information</w:t>
            </w:r>
          </w:p>
        </w:tc>
      </w:tr>
      <w:tr w:rsidR="00351B4C" w:rsidRPr="000635AB" w:rsidTr="00B05E51">
        <w:tc>
          <w:tcPr>
            <w:tcW w:w="3330" w:type="dxa"/>
            <w:tcBorders>
              <w:left w:val="single" w:sz="12" w:space="0" w:color="auto"/>
            </w:tcBorders>
            <w:shd w:val="clear" w:color="auto" w:fill="auto"/>
            <w:hideMark/>
          </w:tcPr>
          <w:p w:rsidR="00351B4C" w:rsidRPr="000635AB" w:rsidRDefault="00351B4C" w:rsidP="00D837FB">
            <w:pPr>
              <w:tabs>
                <w:tab w:val="left" w:pos="360"/>
                <w:tab w:val="left" w:pos="720"/>
                <w:tab w:val="left" w:pos="1080"/>
                <w:tab w:val="left" w:pos="1440"/>
              </w:tabs>
              <w:jc w:val="center"/>
              <w:rPr>
                <w:sz w:val="22"/>
                <w:szCs w:val="22"/>
              </w:rPr>
            </w:pPr>
            <w:r w:rsidRPr="000635AB">
              <w:rPr>
                <w:sz w:val="22"/>
                <w:szCs w:val="22"/>
              </w:rPr>
              <w:t>§ 60.10</w:t>
            </w:r>
          </w:p>
        </w:tc>
        <w:tc>
          <w:tcPr>
            <w:tcW w:w="6390" w:type="dxa"/>
            <w:tcBorders>
              <w:right w:val="single" w:sz="12" w:space="0" w:color="auto"/>
            </w:tcBorders>
            <w:shd w:val="clear" w:color="auto" w:fill="auto"/>
            <w:hideMark/>
          </w:tcPr>
          <w:p w:rsidR="00351B4C" w:rsidRPr="000635AB" w:rsidRDefault="00351B4C" w:rsidP="00D837FB">
            <w:pPr>
              <w:tabs>
                <w:tab w:val="left" w:pos="360"/>
                <w:tab w:val="left" w:pos="720"/>
                <w:tab w:val="left" w:pos="1080"/>
                <w:tab w:val="left" w:pos="1440"/>
              </w:tabs>
              <w:autoSpaceDE w:val="0"/>
              <w:autoSpaceDN w:val="0"/>
              <w:adjustRightInd w:val="0"/>
              <w:rPr>
                <w:sz w:val="22"/>
                <w:szCs w:val="22"/>
              </w:rPr>
            </w:pPr>
            <w:r w:rsidRPr="000635AB">
              <w:rPr>
                <w:sz w:val="22"/>
                <w:szCs w:val="22"/>
              </w:rPr>
              <w:t>State Authority</w:t>
            </w:r>
          </w:p>
        </w:tc>
      </w:tr>
      <w:tr w:rsidR="00351B4C" w:rsidRPr="000635AB" w:rsidTr="00B05E51">
        <w:tc>
          <w:tcPr>
            <w:tcW w:w="3330" w:type="dxa"/>
            <w:tcBorders>
              <w:left w:val="single" w:sz="12" w:space="0" w:color="auto"/>
            </w:tcBorders>
            <w:shd w:val="clear" w:color="auto" w:fill="auto"/>
            <w:hideMark/>
          </w:tcPr>
          <w:p w:rsidR="00351B4C" w:rsidRPr="000635AB" w:rsidRDefault="00351B4C" w:rsidP="00D837FB">
            <w:pPr>
              <w:tabs>
                <w:tab w:val="left" w:pos="360"/>
                <w:tab w:val="left" w:pos="720"/>
                <w:tab w:val="left" w:pos="1080"/>
                <w:tab w:val="left" w:pos="1440"/>
              </w:tabs>
              <w:jc w:val="center"/>
              <w:rPr>
                <w:sz w:val="22"/>
                <w:szCs w:val="22"/>
              </w:rPr>
            </w:pPr>
            <w:r w:rsidRPr="000635AB">
              <w:rPr>
                <w:sz w:val="22"/>
                <w:szCs w:val="22"/>
              </w:rPr>
              <w:t>§ 60.12</w:t>
            </w:r>
          </w:p>
        </w:tc>
        <w:tc>
          <w:tcPr>
            <w:tcW w:w="6390" w:type="dxa"/>
            <w:tcBorders>
              <w:right w:val="single" w:sz="12" w:space="0" w:color="auto"/>
            </w:tcBorders>
            <w:shd w:val="clear" w:color="auto" w:fill="auto"/>
            <w:hideMark/>
          </w:tcPr>
          <w:p w:rsidR="00351B4C" w:rsidRPr="000635AB" w:rsidRDefault="00351B4C" w:rsidP="00D837FB">
            <w:pPr>
              <w:tabs>
                <w:tab w:val="left" w:pos="360"/>
                <w:tab w:val="left" w:pos="720"/>
                <w:tab w:val="left" w:pos="1080"/>
                <w:tab w:val="left" w:pos="1440"/>
              </w:tabs>
              <w:autoSpaceDE w:val="0"/>
              <w:autoSpaceDN w:val="0"/>
              <w:adjustRightInd w:val="0"/>
              <w:rPr>
                <w:sz w:val="22"/>
                <w:szCs w:val="22"/>
              </w:rPr>
            </w:pPr>
            <w:r w:rsidRPr="000635AB">
              <w:rPr>
                <w:sz w:val="22"/>
                <w:szCs w:val="22"/>
              </w:rPr>
              <w:t>Circumvention</w:t>
            </w:r>
          </w:p>
        </w:tc>
      </w:tr>
      <w:tr w:rsidR="00351B4C" w:rsidRPr="000635AB" w:rsidTr="00B05E51">
        <w:tc>
          <w:tcPr>
            <w:tcW w:w="3330" w:type="dxa"/>
            <w:tcBorders>
              <w:left w:val="single" w:sz="12" w:space="0" w:color="auto"/>
            </w:tcBorders>
            <w:shd w:val="clear" w:color="auto" w:fill="auto"/>
            <w:hideMark/>
          </w:tcPr>
          <w:p w:rsidR="00351B4C" w:rsidRPr="000635AB" w:rsidRDefault="00351B4C" w:rsidP="00D837FB">
            <w:pPr>
              <w:tabs>
                <w:tab w:val="left" w:pos="360"/>
                <w:tab w:val="left" w:pos="720"/>
                <w:tab w:val="left" w:pos="1080"/>
                <w:tab w:val="left" w:pos="1440"/>
              </w:tabs>
              <w:jc w:val="center"/>
              <w:rPr>
                <w:sz w:val="22"/>
                <w:szCs w:val="22"/>
              </w:rPr>
            </w:pPr>
            <w:r w:rsidRPr="000635AB">
              <w:rPr>
                <w:sz w:val="22"/>
                <w:szCs w:val="22"/>
              </w:rPr>
              <w:t>§ 60.14</w:t>
            </w:r>
          </w:p>
        </w:tc>
        <w:tc>
          <w:tcPr>
            <w:tcW w:w="6390" w:type="dxa"/>
            <w:tcBorders>
              <w:right w:val="single" w:sz="12" w:space="0" w:color="auto"/>
            </w:tcBorders>
            <w:shd w:val="clear" w:color="auto" w:fill="auto"/>
            <w:hideMark/>
          </w:tcPr>
          <w:p w:rsidR="00351B4C" w:rsidRPr="000635AB" w:rsidRDefault="00351B4C" w:rsidP="00D837FB">
            <w:pPr>
              <w:tabs>
                <w:tab w:val="left" w:pos="360"/>
                <w:tab w:val="left" w:pos="720"/>
                <w:tab w:val="left" w:pos="1080"/>
                <w:tab w:val="left" w:pos="1440"/>
              </w:tabs>
              <w:autoSpaceDE w:val="0"/>
              <w:autoSpaceDN w:val="0"/>
              <w:adjustRightInd w:val="0"/>
              <w:rPr>
                <w:sz w:val="22"/>
                <w:szCs w:val="22"/>
              </w:rPr>
            </w:pPr>
            <w:r w:rsidRPr="000635AB">
              <w:rPr>
                <w:sz w:val="22"/>
                <w:szCs w:val="22"/>
              </w:rPr>
              <w:t>Modification</w:t>
            </w:r>
          </w:p>
        </w:tc>
      </w:tr>
      <w:tr w:rsidR="00351B4C" w:rsidRPr="000635AB" w:rsidTr="00B05E51">
        <w:tc>
          <w:tcPr>
            <w:tcW w:w="3330" w:type="dxa"/>
            <w:tcBorders>
              <w:left w:val="single" w:sz="12" w:space="0" w:color="auto"/>
            </w:tcBorders>
            <w:shd w:val="clear" w:color="auto" w:fill="auto"/>
            <w:hideMark/>
          </w:tcPr>
          <w:p w:rsidR="00351B4C" w:rsidRPr="000635AB" w:rsidRDefault="00351B4C" w:rsidP="00D837FB">
            <w:pPr>
              <w:tabs>
                <w:tab w:val="left" w:pos="360"/>
                <w:tab w:val="left" w:pos="720"/>
                <w:tab w:val="left" w:pos="1080"/>
                <w:tab w:val="left" w:pos="1440"/>
              </w:tabs>
              <w:jc w:val="center"/>
              <w:rPr>
                <w:sz w:val="22"/>
                <w:szCs w:val="22"/>
              </w:rPr>
            </w:pPr>
            <w:r w:rsidRPr="000635AB">
              <w:rPr>
                <w:sz w:val="22"/>
                <w:szCs w:val="22"/>
              </w:rPr>
              <w:t>§ 60.15</w:t>
            </w:r>
          </w:p>
        </w:tc>
        <w:tc>
          <w:tcPr>
            <w:tcW w:w="6390" w:type="dxa"/>
            <w:tcBorders>
              <w:right w:val="single" w:sz="12" w:space="0" w:color="auto"/>
            </w:tcBorders>
            <w:shd w:val="clear" w:color="auto" w:fill="auto"/>
            <w:hideMark/>
          </w:tcPr>
          <w:p w:rsidR="00351B4C" w:rsidRPr="000635AB" w:rsidRDefault="00351B4C" w:rsidP="00D837FB">
            <w:pPr>
              <w:tabs>
                <w:tab w:val="left" w:pos="360"/>
                <w:tab w:val="left" w:pos="720"/>
                <w:tab w:val="left" w:pos="1080"/>
                <w:tab w:val="left" w:pos="1440"/>
              </w:tabs>
              <w:autoSpaceDE w:val="0"/>
              <w:autoSpaceDN w:val="0"/>
              <w:adjustRightInd w:val="0"/>
              <w:rPr>
                <w:sz w:val="22"/>
                <w:szCs w:val="22"/>
              </w:rPr>
            </w:pPr>
            <w:r w:rsidRPr="000635AB">
              <w:rPr>
                <w:sz w:val="22"/>
                <w:szCs w:val="22"/>
              </w:rPr>
              <w:t>Reconstruction</w:t>
            </w:r>
          </w:p>
        </w:tc>
      </w:tr>
      <w:tr w:rsidR="00351B4C" w:rsidRPr="000635AB" w:rsidTr="00B05E51">
        <w:tc>
          <w:tcPr>
            <w:tcW w:w="3330" w:type="dxa"/>
            <w:tcBorders>
              <w:left w:val="single" w:sz="12" w:space="0" w:color="auto"/>
            </w:tcBorders>
            <w:shd w:val="clear" w:color="auto" w:fill="auto"/>
            <w:hideMark/>
          </w:tcPr>
          <w:p w:rsidR="00351B4C" w:rsidRPr="000635AB" w:rsidRDefault="00351B4C" w:rsidP="00D837FB">
            <w:pPr>
              <w:tabs>
                <w:tab w:val="left" w:pos="360"/>
                <w:tab w:val="left" w:pos="720"/>
                <w:tab w:val="left" w:pos="1080"/>
                <w:tab w:val="left" w:pos="1440"/>
              </w:tabs>
              <w:jc w:val="center"/>
              <w:rPr>
                <w:sz w:val="22"/>
                <w:szCs w:val="22"/>
              </w:rPr>
            </w:pPr>
            <w:r w:rsidRPr="000635AB">
              <w:rPr>
                <w:sz w:val="22"/>
                <w:szCs w:val="22"/>
              </w:rPr>
              <w:t>§ 60.16</w:t>
            </w:r>
          </w:p>
        </w:tc>
        <w:tc>
          <w:tcPr>
            <w:tcW w:w="6390" w:type="dxa"/>
            <w:tcBorders>
              <w:right w:val="single" w:sz="12" w:space="0" w:color="auto"/>
            </w:tcBorders>
            <w:shd w:val="clear" w:color="auto" w:fill="auto"/>
            <w:hideMark/>
          </w:tcPr>
          <w:p w:rsidR="00351B4C" w:rsidRPr="000635AB" w:rsidRDefault="00351B4C" w:rsidP="00D837FB">
            <w:pPr>
              <w:tabs>
                <w:tab w:val="left" w:pos="360"/>
                <w:tab w:val="left" w:pos="720"/>
                <w:tab w:val="left" w:pos="1080"/>
                <w:tab w:val="left" w:pos="1440"/>
              </w:tabs>
              <w:autoSpaceDE w:val="0"/>
              <w:autoSpaceDN w:val="0"/>
              <w:adjustRightInd w:val="0"/>
              <w:rPr>
                <w:sz w:val="22"/>
                <w:szCs w:val="22"/>
              </w:rPr>
            </w:pPr>
            <w:r w:rsidRPr="000635AB">
              <w:rPr>
                <w:sz w:val="22"/>
                <w:szCs w:val="22"/>
              </w:rPr>
              <w:t>Priority list</w:t>
            </w:r>
          </w:p>
        </w:tc>
      </w:tr>
      <w:tr w:rsidR="00351B4C" w:rsidRPr="000635AB" w:rsidTr="00B05E51">
        <w:tc>
          <w:tcPr>
            <w:tcW w:w="3330" w:type="dxa"/>
            <w:tcBorders>
              <w:left w:val="single" w:sz="12" w:space="0" w:color="auto"/>
            </w:tcBorders>
            <w:shd w:val="clear" w:color="auto" w:fill="auto"/>
            <w:hideMark/>
          </w:tcPr>
          <w:p w:rsidR="00351B4C" w:rsidRPr="000635AB" w:rsidRDefault="00351B4C" w:rsidP="00D837FB">
            <w:pPr>
              <w:tabs>
                <w:tab w:val="left" w:pos="360"/>
                <w:tab w:val="left" w:pos="720"/>
                <w:tab w:val="left" w:pos="1080"/>
                <w:tab w:val="left" w:pos="1440"/>
              </w:tabs>
              <w:jc w:val="center"/>
              <w:rPr>
                <w:sz w:val="22"/>
                <w:szCs w:val="22"/>
              </w:rPr>
            </w:pPr>
            <w:r w:rsidRPr="000635AB">
              <w:rPr>
                <w:sz w:val="22"/>
                <w:szCs w:val="22"/>
              </w:rPr>
              <w:t>§ 60.17</w:t>
            </w:r>
          </w:p>
        </w:tc>
        <w:tc>
          <w:tcPr>
            <w:tcW w:w="6390" w:type="dxa"/>
            <w:tcBorders>
              <w:right w:val="single" w:sz="12" w:space="0" w:color="auto"/>
            </w:tcBorders>
            <w:shd w:val="clear" w:color="auto" w:fill="auto"/>
            <w:hideMark/>
          </w:tcPr>
          <w:p w:rsidR="00351B4C" w:rsidRPr="000635AB" w:rsidRDefault="00351B4C" w:rsidP="00D837FB">
            <w:pPr>
              <w:tabs>
                <w:tab w:val="left" w:pos="360"/>
                <w:tab w:val="left" w:pos="720"/>
                <w:tab w:val="left" w:pos="1080"/>
                <w:tab w:val="left" w:pos="1440"/>
              </w:tabs>
              <w:autoSpaceDE w:val="0"/>
              <w:autoSpaceDN w:val="0"/>
              <w:adjustRightInd w:val="0"/>
              <w:rPr>
                <w:sz w:val="22"/>
                <w:szCs w:val="22"/>
              </w:rPr>
            </w:pPr>
            <w:r w:rsidRPr="000635AB">
              <w:rPr>
                <w:sz w:val="22"/>
                <w:szCs w:val="22"/>
              </w:rPr>
              <w:t>Incorporations by reference</w:t>
            </w:r>
          </w:p>
        </w:tc>
      </w:tr>
      <w:tr w:rsidR="00351B4C" w:rsidRPr="000635AB" w:rsidTr="00B05E51">
        <w:tc>
          <w:tcPr>
            <w:tcW w:w="3330" w:type="dxa"/>
            <w:tcBorders>
              <w:left w:val="single" w:sz="12" w:space="0" w:color="auto"/>
              <w:bottom w:val="single" w:sz="12" w:space="0" w:color="auto"/>
            </w:tcBorders>
            <w:shd w:val="clear" w:color="auto" w:fill="auto"/>
            <w:hideMark/>
          </w:tcPr>
          <w:p w:rsidR="00351B4C" w:rsidRPr="000635AB" w:rsidRDefault="00351B4C" w:rsidP="00D837FB">
            <w:pPr>
              <w:tabs>
                <w:tab w:val="left" w:pos="360"/>
                <w:tab w:val="left" w:pos="720"/>
                <w:tab w:val="left" w:pos="1080"/>
                <w:tab w:val="left" w:pos="1440"/>
              </w:tabs>
              <w:jc w:val="center"/>
              <w:rPr>
                <w:sz w:val="22"/>
                <w:szCs w:val="22"/>
              </w:rPr>
            </w:pPr>
            <w:r w:rsidRPr="000635AB">
              <w:rPr>
                <w:sz w:val="22"/>
                <w:szCs w:val="22"/>
              </w:rPr>
              <w:t>§ 60.19</w:t>
            </w:r>
          </w:p>
        </w:tc>
        <w:tc>
          <w:tcPr>
            <w:tcW w:w="6390" w:type="dxa"/>
            <w:tcBorders>
              <w:bottom w:val="single" w:sz="12" w:space="0" w:color="auto"/>
              <w:right w:val="single" w:sz="12" w:space="0" w:color="auto"/>
            </w:tcBorders>
            <w:shd w:val="clear" w:color="auto" w:fill="auto"/>
            <w:hideMark/>
          </w:tcPr>
          <w:p w:rsidR="00351B4C" w:rsidRPr="000635AB" w:rsidRDefault="00351B4C" w:rsidP="00D837FB">
            <w:pPr>
              <w:tabs>
                <w:tab w:val="left" w:pos="360"/>
                <w:tab w:val="left" w:pos="720"/>
                <w:tab w:val="left" w:pos="1080"/>
                <w:tab w:val="left" w:pos="1440"/>
              </w:tabs>
              <w:autoSpaceDE w:val="0"/>
              <w:autoSpaceDN w:val="0"/>
              <w:adjustRightInd w:val="0"/>
              <w:rPr>
                <w:sz w:val="22"/>
                <w:szCs w:val="22"/>
              </w:rPr>
            </w:pPr>
            <w:r w:rsidRPr="000635AB">
              <w:rPr>
                <w:sz w:val="22"/>
                <w:szCs w:val="22"/>
              </w:rPr>
              <w:t>General notification and reporting requirements</w:t>
            </w:r>
          </w:p>
        </w:tc>
      </w:tr>
    </w:tbl>
    <w:p w:rsidR="00EF1200" w:rsidRPr="00EF1200" w:rsidRDefault="00351B4C" w:rsidP="00502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360"/>
        <w:rPr>
          <w:sz w:val="22"/>
        </w:rPr>
      </w:pPr>
      <w:r w:rsidRPr="000635AB">
        <w:rPr>
          <w:color w:val="000000"/>
          <w:sz w:val="22"/>
          <w:szCs w:val="22"/>
        </w:rPr>
        <w:t xml:space="preserve">[40 CFR 60.4218]  </w:t>
      </w:r>
    </w:p>
    <w:p w:rsidR="00980687" w:rsidRDefault="00980687" w:rsidP="00E21BEA">
      <w:pPr>
        <w:rPr>
          <w:sz w:val="22"/>
          <w:szCs w:val="22"/>
        </w:rPr>
        <w:sectPr w:rsidR="00980687" w:rsidSect="009C1FD0">
          <w:headerReference w:type="even" r:id="rId40"/>
          <w:headerReference w:type="default" r:id="rId41"/>
          <w:headerReference w:type="first" r:id="rId42"/>
          <w:pgSz w:w="12240" w:h="15840" w:code="1"/>
          <w:pgMar w:top="720" w:right="1080" w:bottom="720" w:left="1080" w:header="720" w:footer="720" w:gutter="0"/>
          <w:paperSrc w:first="15" w:other="15"/>
          <w:cols w:space="720"/>
        </w:sectPr>
      </w:pPr>
    </w:p>
    <w:p w:rsidR="009D108C" w:rsidRPr="009D108C" w:rsidRDefault="009D108C" w:rsidP="009D108C">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rPr>
          <w:sz w:val="22"/>
        </w:rPr>
      </w:pPr>
      <w:r w:rsidRPr="009D108C">
        <w:rPr>
          <w:sz w:val="22"/>
        </w:rPr>
        <w:lastRenderedPageBreak/>
        <w:t>This section of the permit addresses the following emissions unit.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9D108C" w:rsidRPr="009D108C" w:rsidTr="003F2A9C">
        <w:tc>
          <w:tcPr>
            <w:tcW w:w="794" w:type="dxa"/>
            <w:tcBorders>
              <w:top w:val="single" w:sz="12" w:space="0" w:color="auto"/>
              <w:bottom w:val="single" w:sz="12" w:space="0" w:color="auto"/>
              <w:right w:val="single" w:sz="12" w:space="0" w:color="auto"/>
            </w:tcBorders>
            <w:shd w:val="clear" w:color="auto" w:fill="B8CCE4"/>
          </w:tcPr>
          <w:p w:rsidR="009D108C" w:rsidRPr="009D108C" w:rsidRDefault="00483A8F" w:rsidP="009D108C">
            <w:pPr>
              <w:jc w:val="center"/>
              <w:rPr>
                <w:b/>
              </w:rPr>
            </w:pPr>
            <w:bookmarkStart w:id="53" w:name="_Hlk493079958"/>
            <w:r>
              <w:rPr>
                <w:b/>
              </w:rPr>
              <w:t>EU</w:t>
            </w:r>
            <w:r w:rsidR="009D108C" w:rsidRPr="009D108C">
              <w:rPr>
                <w:b/>
              </w:rPr>
              <w:t xml:space="preserve"> No.</w:t>
            </w:r>
          </w:p>
        </w:tc>
        <w:tc>
          <w:tcPr>
            <w:tcW w:w="9360" w:type="dxa"/>
            <w:tcBorders>
              <w:top w:val="single" w:sz="12" w:space="0" w:color="auto"/>
              <w:left w:val="single" w:sz="12" w:space="0" w:color="auto"/>
              <w:bottom w:val="single" w:sz="12" w:space="0" w:color="auto"/>
            </w:tcBorders>
            <w:shd w:val="clear" w:color="auto" w:fill="B8CCE4"/>
          </w:tcPr>
          <w:p w:rsidR="009D108C" w:rsidRPr="009D108C" w:rsidRDefault="009D108C" w:rsidP="009D108C">
            <w:r w:rsidRPr="009D108C">
              <w:rPr>
                <w:b/>
              </w:rPr>
              <w:t>Emission Unit Description</w:t>
            </w:r>
          </w:p>
        </w:tc>
      </w:tr>
      <w:tr w:rsidR="009D108C" w:rsidRPr="009D108C" w:rsidTr="003F2A9C">
        <w:tc>
          <w:tcPr>
            <w:tcW w:w="794" w:type="dxa"/>
            <w:tcBorders>
              <w:top w:val="single" w:sz="8" w:space="0" w:color="auto"/>
              <w:bottom w:val="single" w:sz="12" w:space="0" w:color="auto"/>
              <w:right w:val="single" w:sz="12" w:space="0" w:color="auto"/>
            </w:tcBorders>
            <w:vAlign w:val="center"/>
          </w:tcPr>
          <w:p w:rsidR="009D108C" w:rsidRPr="009D108C" w:rsidRDefault="001D1F12" w:rsidP="009D108C">
            <w:pPr>
              <w:jc w:val="center"/>
              <w:rPr>
                <w:b/>
                <w:highlight w:val="yellow"/>
              </w:rPr>
            </w:pPr>
            <w:r>
              <w:rPr>
                <w:b/>
              </w:rPr>
              <w:t>004</w:t>
            </w:r>
          </w:p>
        </w:tc>
        <w:tc>
          <w:tcPr>
            <w:tcW w:w="9360" w:type="dxa"/>
            <w:tcBorders>
              <w:top w:val="single" w:sz="8" w:space="0" w:color="auto"/>
              <w:left w:val="single" w:sz="12" w:space="0" w:color="auto"/>
              <w:bottom w:val="single" w:sz="12" w:space="0" w:color="auto"/>
            </w:tcBorders>
          </w:tcPr>
          <w:p w:rsidR="009D108C" w:rsidRPr="009D108C" w:rsidRDefault="009D108C" w:rsidP="009D108C">
            <w:r w:rsidRPr="009D108C">
              <w:t>Emergency Fire Pump Engine</w:t>
            </w:r>
            <w:r w:rsidR="00A70A37" w:rsidRPr="009D108C">
              <w:t xml:space="preserve"> </w:t>
            </w:r>
            <w:r w:rsidR="00A70A37">
              <w:t>(347 HP)</w:t>
            </w:r>
          </w:p>
        </w:tc>
      </w:tr>
    </w:tbl>
    <w:bookmarkEnd w:id="53"/>
    <w:p w:rsidR="009D108C" w:rsidRPr="009D108C" w:rsidRDefault="009D108C" w:rsidP="009D108C">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b/>
          <w:caps/>
          <w:sz w:val="22"/>
        </w:rPr>
      </w:pPr>
      <w:r w:rsidRPr="009D108C">
        <w:rPr>
          <w:b/>
          <w:caps/>
          <w:sz w:val="22"/>
          <w:szCs w:val="22"/>
        </w:rPr>
        <w:t>NSPS AND NESHAP Applicability</w:t>
      </w:r>
    </w:p>
    <w:p w:rsidR="009D108C" w:rsidRPr="009D108C" w:rsidRDefault="009D108C" w:rsidP="009D108C">
      <w:pPr>
        <w:numPr>
          <w:ilvl w:val="0"/>
          <w:numId w:val="33"/>
        </w:numPr>
        <w:tabs>
          <w:tab w:val="left" w:pos="1440"/>
          <w:tab w:val="left" w:pos="1800"/>
          <w:tab w:val="left" w:pos="2160"/>
        </w:tabs>
        <w:spacing w:after="60"/>
        <w:ind w:left="360"/>
        <w:rPr>
          <w:sz w:val="22"/>
        </w:rPr>
      </w:pPr>
      <w:r w:rsidRPr="009D108C">
        <w:rPr>
          <w:sz w:val="22"/>
          <w:u w:val="single"/>
        </w:rPr>
        <w:t>NSPS, Subpart IIII Applicability</w:t>
      </w:r>
      <w:r w:rsidRPr="009D108C">
        <w:rPr>
          <w:sz w:val="22"/>
        </w:rPr>
        <w:t>:  The emergency fire pump engine is a Stationary Compression Ignition Internal Combustion Engine (Stationary ICE) and is subject to 40 CFR 60, Subpart IIII.  The applicant shall comply with 40 CFR 60, Subpart IIII only to the extent that the regulations apply to the emission unit and its operations (e.g. non-road, emergency, displacement, capacity and model year selected).</w:t>
      </w:r>
    </w:p>
    <w:p w:rsidR="009D108C" w:rsidRPr="009D108C" w:rsidRDefault="009D108C" w:rsidP="009D108C">
      <w:pPr>
        <w:tabs>
          <w:tab w:val="left" w:pos="360"/>
          <w:tab w:val="left" w:pos="1440"/>
          <w:tab w:val="left" w:pos="1800"/>
          <w:tab w:val="left" w:pos="2160"/>
        </w:tabs>
        <w:spacing w:after="120"/>
        <w:ind w:left="360"/>
        <w:rPr>
          <w:sz w:val="22"/>
        </w:rPr>
      </w:pPr>
      <w:r w:rsidRPr="009D108C">
        <w:rPr>
          <w:sz w:val="22"/>
        </w:rPr>
        <w:t>[</w:t>
      </w:r>
      <w:r w:rsidR="0054223A" w:rsidRPr="009D108C">
        <w:rPr>
          <w:sz w:val="22"/>
        </w:rPr>
        <w:t>Rule 62-204.800(8)(b)80., F.A.C.</w:t>
      </w:r>
      <w:r w:rsidR="0054223A">
        <w:rPr>
          <w:sz w:val="22"/>
        </w:rPr>
        <w:t xml:space="preserve">; and </w:t>
      </w:r>
      <w:r w:rsidRPr="009D108C">
        <w:rPr>
          <w:sz w:val="22"/>
        </w:rPr>
        <w:t>40 CFR 60, subpart IIII - Standards of Performance for Stationary Compression Ignition Internal Combustion Engines]</w:t>
      </w:r>
    </w:p>
    <w:p w:rsidR="009D108C" w:rsidRPr="009D108C" w:rsidRDefault="009D108C" w:rsidP="009D108C">
      <w:pPr>
        <w:numPr>
          <w:ilvl w:val="0"/>
          <w:numId w:val="33"/>
        </w:numPr>
        <w:tabs>
          <w:tab w:val="left" w:pos="360"/>
          <w:tab w:val="left" w:pos="1440"/>
          <w:tab w:val="left" w:pos="1800"/>
          <w:tab w:val="left" w:pos="2160"/>
        </w:tabs>
        <w:spacing w:after="60"/>
        <w:ind w:left="360"/>
        <w:rPr>
          <w:sz w:val="22"/>
          <w:szCs w:val="22"/>
        </w:rPr>
      </w:pPr>
      <w:r w:rsidRPr="009D108C">
        <w:rPr>
          <w:sz w:val="22"/>
          <w:u w:val="single"/>
        </w:rPr>
        <w:t>NESHAP, Subpart ZZZZ Applicability</w:t>
      </w:r>
      <w:r w:rsidRPr="009D108C">
        <w:rPr>
          <w:sz w:val="22"/>
        </w:rPr>
        <w:t xml:space="preserve">:  The emergency fire pump engine is a Stationary Reciprocating Internal Combustion </w:t>
      </w:r>
      <w:r w:rsidR="0054223A">
        <w:rPr>
          <w:sz w:val="22"/>
        </w:rPr>
        <w:t>E</w:t>
      </w:r>
      <w:r w:rsidRPr="009D108C">
        <w:rPr>
          <w:sz w:val="22"/>
        </w:rPr>
        <w:t>ngine</w:t>
      </w:r>
      <w:r w:rsidR="0054223A">
        <w:rPr>
          <w:sz w:val="22"/>
        </w:rPr>
        <w:t xml:space="preserve"> (RICE)</w:t>
      </w:r>
      <w:r w:rsidRPr="009D108C">
        <w:rPr>
          <w:sz w:val="22"/>
        </w:rPr>
        <w:t xml:space="preserve"> located at an area source of hazardous air pollutants emissions and is subject to 40 CFR 63, Subpart ZZZZ.  Because the emergency fire pump engine is subject to regulation under 40 CFR 60, Subpart IIII, Subpart ZZZZ only requires that the emergency fire pump engine meet the requirements of 40 CFR 60, Subpart IIII.  No further requirements of Subpart ZZZZ apply to the emergency fire pump engine.  </w:t>
      </w:r>
    </w:p>
    <w:p w:rsidR="009D108C" w:rsidRPr="009D108C" w:rsidRDefault="009D108C" w:rsidP="009D108C">
      <w:pPr>
        <w:tabs>
          <w:tab w:val="left" w:pos="360"/>
          <w:tab w:val="left" w:pos="1440"/>
          <w:tab w:val="left" w:pos="1800"/>
          <w:tab w:val="left" w:pos="2160"/>
        </w:tabs>
        <w:spacing w:after="120"/>
        <w:ind w:left="360"/>
        <w:rPr>
          <w:sz w:val="22"/>
          <w:szCs w:val="22"/>
        </w:rPr>
      </w:pPr>
      <w:r w:rsidRPr="009D108C">
        <w:rPr>
          <w:sz w:val="22"/>
          <w:szCs w:val="22"/>
        </w:rPr>
        <w:t>[</w:t>
      </w:r>
      <w:r w:rsidR="0054223A" w:rsidRPr="009D108C">
        <w:rPr>
          <w:sz w:val="22"/>
          <w:szCs w:val="22"/>
        </w:rPr>
        <w:t>Rule 62-204.800(</w:t>
      </w:r>
      <w:proofErr w:type="gramStart"/>
      <w:r w:rsidR="0054223A" w:rsidRPr="009D108C">
        <w:rPr>
          <w:sz w:val="22"/>
          <w:szCs w:val="22"/>
        </w:rPr>
        <w:t>11)(</w:t>
      </w:r>
      <w:proofErr w:type="gramEnd"/>
      <w:r w:rsidR="0054223A" w:rsidRPr="009D108C">
        <w:rPr>
          <w:sz w:val="22"/>
          <w:szCs w:val="22"/>
        </w:rPr>
        <w:t>b)82., F.A.C.</w:t>
      </w:r>
      <w:r w:rsidR="0054223A">
        <w:rPr>
          <w:sz w:val="22"/>
          <w:szCs w:val="22"/>
        </w:rPr>
        <w:t xml:space="preserve">; and </w:t>
      </w:r>
      <w:r w:rsidRPr="009D108C">
        <w:rPr>
          <w:sz w:val="22"/>
          <w:szCs w:val="22"/>
        </w:rPr>
        <w:t>40 CFR 63, subpart ZZZZ - National Emissions Standards for Hazardous Air Pollutants for Stationary Reciprocating Internal Combustion Engines]</w:t>
      </w:r>
    </w:p>
    <w:p w:rsidR="009D108C" w:rsidRPr="009D108C" w:rsidRDefault="009D108C" w:rsidP="009D108C">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b/>
          <w:caps/>
          <w:sz w:val="22"/>
        </w:rPr>
      </w:pPr>
      <w:r w:rsidRPr="009D108C">
        <w:rPr>
          <w:b/>
          <w:caps/>
          <w:sz w:val="22"/>
        </w:rPr>
        <w:t>Equipment Specifications</w:t>
      </w:r>
    </w:p>
    <w:p w:rsidR="009D108C" w:rsidRPr="009D108C" w:rsidRDefault="009D108C" w:rsidP="004D54D8">
      <w:pPr>
        <w:numPr>
          <w:ilvl w:val="0"/>
          <w:numId w:val="33"/>
        </w:numPr>
        <w:tabs>
          <w:tab w:val="clear" w:pos="1080"/>
          <w:tab w:val="num" w:pos="630"/>
          <w:tab w:val="left" w:pos="1440"/>
          <w:tab w:val="left" w:pos="1800"/>
          <w:tab w:val="left" w:pos="2160"/>
        </w:tabs>
        <w:spacing w:after="120"/>
        <w:ind w:left="360"/>
        <w:rPr>
          <w:sz w:val="22"/>
        </w:rPr>
      </w:pPr>
      <w:r w:rsidRPr="009D108C">
        <w:rPr>
          <w:sz w:val="22"/>
          <w:u w:val="single"/>
        </w:rPr>
        <w:t>Equipment</w:t>
      </w:r>
      <w:r w:rsidRPr="009D108C">
        <w:rPr>
          <w:sz w:val="22"/>
        </w:rPr>
        <w:t xml:space="preserve">:  The permittee is authorized to install, operate, and maintain one nominal </w:t>
      </w:r>
      <w:r w:rsidR="004D54D8">
        <w:rPr>
          <w:sz w:val="22"/>
        </w:rPr>
        <w:t>347</w:t>
      </w:r>
      <w:r w:rsidRPr="009D108C">
        <w:rPr>
          <w:sz w:val="22"/>
        </w:rPr>
        <w:t xml:space="preserve">-hp ULSD fuel oil fired emergency fire pump engine.  [Rules </w:t>
      </w:r>
      <w:r w:rsidRPr="009D108C">
        <w:rPr>
          <w:sz w:val="22"/>
          <w:szCs w:val="22"/>
        </w:rPr>
        <w:t>62-21</w:t>
      </w:r>
      <w:r w:rsidR="00A70A37">
        <w:rPr>
          <w:sz w:val="22"/>
          <w:szCs w:val="22"/>
        </w:rPr>
        <w:t>2</w:t>
      </w:r>
      <w:r w:rsidRPr="009D108C">
        <w:rPr>
          <w:sz w:val="22"/>
          <w:szCs w:val="22"/>
        </w:rPr>
        <w:t>.</w:t>
      </w:r>
      <w:r w:rsidR="00A70A37">
        <w:rPr>
          <w:sz w:val="22"/>
          <w:szCs w:val="22"/>
        </w:rPr>
        <w:t>4</w:t>
      </w:r>
      <w:r w:rsidRPr="009D108C">
        <w:rPr>
          <w:sz w:val="22"/>
          <w:szCs w:val="22"/>
        </w:rPr>
        <w:t>00(BACT) and</w:t>
      </w:r>
      <w:r w:rsidRPr="009D108C">
        <w:rPr>
          <w:sz w:val="22"/>
        </w:rPr>
        <w:t xml:space="preserve"> 62-210.200(PTE), F.A.C.</w:t>
      </w:r>
      <w:r>
        <w:rPr>
          <w:sz w:val="22"/>
        </w:rPr>
        <w:t xml:space="preserve">; and Application No. </w:t>
      </w:r>
      <w:r w:rsidR="00B519E0">
        <w:rPr>
          <w:sz w:val="22"/>
        </w:rPr>
        <w:t>1010524</w:t>
      </w:r>
      <w:r w:rsidR="004D54D8" w:rsidRPr="004D54D8">
        <w:rPr>
          <w:sz w:val="22"/>
        </w:rPr>
        <w:t>-</w:t>
      </w:r>
      <w:r w:rsidR="00B519E0">
        <w:rPr>
          <w:sz w:val="22"/>
        </w:rPr>
        <w:t>001</w:t>
      </w:r>
      <w:r w:rsidR="004D54D8" w:rsidRPr="004D54D8">
        <w:rPr>
          <w:sz w:val="22"/>
        </w:rPr>
        <w:t>-AC</w:t>
      </w:r>
      <w:r w:rsidRPr="009D108C">
        <w:rPr>
          <w:sz w:val="22"/>
        </w:rPr>
        <w:t>]</w:t>
      </w:r>
    </w:p>
    <w:p w:rsidR="009D108C" w:rsidRPr="009D108C" w:rsidRDefault="009D108C" w:rsidP="009D108C">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b/>
          <w:caps/>
          <w:sz w:val="22"/>
        </w:rPr>
      </w:pPr>
      <w:r w:rsidRPr="009D108C">
        <w:rPr>
          <w:b/>
          <w:caps/>
          <w:sz w:val="22"/>
        </w:rPr>
        <w:t>Emissions and Performance Requirements</w:t>
      </w:r>
    </w:p>
    <w:p w:rsidR="009D108C" w:rsidRPr="009D108C" w:rsidRDefault="009D108C" w:rsidP="000B2A67">
      <w:pPr>
        <w:numPr>
          <w:ilvl w:val="0"/>
          <w:numId w:val="33"/>
        </w:numPr>
        <w:tabs>
          <w:tab w:val="clear" w:pos="1080"/>
          <w:tab w:val="left" w:pos="360"/>
        </w:tabs>
        <w:spacing w:after="60"/>
        <w:ind w:left="360"/>
        <w:rPr>
          <w:sz w:val="22"/>
        </w:rPr>
      </w:pPr>
      <w:r w:rsidRPr="009D108C">
        <w:rPr>
          <w:sz w:val="22"/>
          <w:u w:val="single"/>
        </w:rPr>
        <w:t>Fuel Specifications:</w:t>
      </w:r>
      <w:r w:rsidRPr="009D108C">
        <w:rPr>
          <w:sz w:val="22"/>
        </w:rPr>
        <w:t xml:space="preserve">  The emergency fire pump engine shall burn ULSD fuel oil with a sulfur content of 15 ppm (0.0015%) by weight or less.  The fuel must have a minimum cetane index of 40 or must have a maximum aromatic content of 35 volume percent.  [Rules </w:t>
      </w:r>
      <w:r w:rsidRPr="009D108C">
        <w:rPr>
          <w:sz w:val="22"/>
          <w:szCs w:val="22"/>
        </w:rPr>
        <w:t>62-21</w:t>
      </w:r>
      <w:r w:rsidR="001E436F">
        <w:rPr>
          <w:sz w:val="22"/>
          <w:szCs w:val="22"/>
        </w:rPr>
        <w:t>2</w:t>
      </w:r>
      <w:r w:rsidRPr="009D108C">
        <w:rPr>
          <w:sz w:val="22"/>
          <w:szCs w:val="22"/>
        </w:rPr>
        <w:t>.</w:t>
      </w:r>
      <w:r w:rsidR="001E436F">
        <w:rPr>
          <w:sz w:val="22"/>
          <w:szCs w:val="22"/>
        </w:rPr>
        <w:t>4</w:t>
      </w:r>
      <w:r w:rsidRPr="009D108C">
        <w:rPr>
          <w:sz w:val="22"/>
          <w:szCs w:val="22"/>
        </w:rPr>
        <w:t>00(BACT) and</w:t>
      </w:r>
      <w:r w:rsidRPr="009D108C">
        <w:rPr>
          <w:sz w:val="22"/>
        </w:rPr>
        <w:t xml:space="preserve"> 62-210.200(PTE), F.A.C.; </w:t>
      </w:r>
      <w:r w:rsidR="002E4F35">
        <w:rPr>
          <w:sz w:val="22"/>
        </w:rPr>
        <w:t xml:space="preserve">40 CFR </w:t>
      </w:r>
      <w:r w:rsidRPr="009D108C">
        <w:rPr>
          <w:sz w:val="22"/>
        </w:rPr>
        <w:t xml:space="preserve">60.4207; and Application No. </w:t>
      </w:r>
      <w:r w:rsidR="00B519E0">
        <w:rPr>
          <w:sz w:val="22"/>
        </w:rPr>
        <w:t>1010524</w:t>
      </w:r>
      <w:r w:rsidR="000B2A67" w:rsidRPr="000B2A67">
        <w:rPr>
          <w:sz w:val="22"/>
        </w:rPr>
        <w:t>-</w:t>
      </w:r>
      <w:r w:rsidR="00B519E0">
        <w:rPr>
          <w:sz w:val="22"/>
        </w:rPr>
        <w:t>001</w:t>
      </w:r>
      <w:r w:rsidR="000B2A67" w:rsidRPr="000B2A67">
        <w:rPr>
          <w:sz w:val="22"/>
        </w:rPr>
        <w:t>-AC</w:t>
      </w:r>
      <w:r w:rsidRPr="009D108C">
        <w:rPr>
          <w:sz w:val="22"/>
        </w:rPr>
        <w:t>]</w:t>
      </w:r>
    </w:p>
    <w:p w:rsidR="009D108C" w:rsidRPr="009D108C" w:rsidRDefault="009D108C" w:rsidP="009D108C">
      <w:pPr>
        <w:numPr>
          <w:ilvl w:val="0"/>
          <w:numId w:val="33"/>
        </w:numPr>
        <w:ind w:left="360"/>
        <w:rPr>
          <w:rFonts w:eastAsia="Calibri"/>
          <w:sz w:val="22"/>
          <w:szCs w:val="22"/>
        </w:rPr>
      </w:pPr>
      <w:bookmarkStart w:id="54" w:name="_Ref434326301"/>
      <w:r w:rsidRPr="009D108C">
        <w:rPr>
          <w:sz w:val="22"/>
          <w:u w:val="single"/>
        </w:rPr>
        <w:t>Restricted Operation</w:t>
      </w:r>
      <w:r w:rsidRPr="009D108C">
        <w:rPr>
          <w:sz w:val="22"/>
        </w:rPr>
        <w:t>:</w:t>
      </w:r>
    </w:p>
    <w:p w:rsidR="009D108C" w:rsidRPr="009D108C" w:rsidRDefault="009D108C" w:rsidP="009D108C">
      <w:pPr>
        <w:numPr>
          <w:ilvl w:val="0"/>
          <w:numId w:val="37"/>
        </w:numPr>
        <w:spacing w:before="60" w:after="60"/>
        <w:ind w:left="720"/>
        <w:rPr>
          <w:rFonts w:eastAsia="Calibri"/>
          <w:sz w:val="22"/>
          <w:szCs w:val="22"/>
        </w:rPr>
      </w:pPr>
      <w:r w:rsidRPr="009D108C">
        <w:rPr>
          <w:rFonts w:eastAsia="Calibri"/>
          <w:i/>
          <w:iCs/>
          <w:sz w:val="22"/>
          <w:szCs w:val="22"/>
        </w:rPr>
        <w:t>Emergency Situations</w:t>
      </w:r>
      <w:r w:rsidR="00A82A8F">
        <w:rPr>
          <w:rFonts w:eastAsia="Calibri"/>
          <w:sz w:val="22"/>
          <w:szCs w:val="22"/>
        </w:rPr>
        <w:t>:</w:t>
      </w:r>
      <w:r w:rsidRPr="009D108C">
        <w:rPr>
          <w:rFonts w:eastAsia="Calibri"/>
          <w:sz w:val="22"/>
          <w:szCs w:val="22"/>
        </w:rPr>
        <w:t xml:space="preserve">  There is no time limit on the use of emergency stationary RICE in emergency situations.  [40 CFR 60.4211(f)(1)]</w:t>
      </w:r>
    </w:p>
    <w:p w:rsidR="009D108C" w:rsidRPr="009D108C" w:rsidRDefault="009D108C" w:rsidP="009D108C">
      <w:pPr>
        <w:numPr>
          <w:ilvl w:val="0"/>
          <w:numId w:val="37"/>
        </w:numPr>
        <w:spacing w:before="60" w:after="60"/>
        <w:ind w:left="720"/>
        <w:rPr>
          <w:rFonts w:eastAsia="Calibri"/>
          <w:sz w:val="22"/>
          <w:szCs w:val="22"/>
        </w:rPr>
      </w:pPr>
      <w:r w:rsidRPr="009D108C">
        <w:rPr>
          <w:rFonts w:eastAsia="Calibri"/>
          <w:i/>
          <w:iCs/>
          <w:sz w:val="22"/>
          <w:szCs w:val="22"/>
        </w:rPr>
        <w:t>Maintenance and Testing</w:t>
      </w:r>
      <w:r w:rsidR="00A82A8F">
        <w:rPr>
          <w:rFonts w:eastAsia="Calibri"/>
          <w:sz w:val="22"/>
          <w:szCs w:val="22"/>
        </w:rPr>
        <w:t>:</w:t>
      </w:r>
      <w:r w:rsidRPr="009D108C">
        <w:rPr>
          <w:rFonts w:eastAsia="Calibri"/>
          <w:sz w:val="22"/>
          <w:szCs w:val="22"/>
        </w:rPr>
        <w:t xml:space="preserve">  This unit is authorized to operate </w:t>
      </w:r>
      <w:proofErr w:type="gramStart"/>
      <w:r w:rsidRPr="009D108C">
        <w:rPr>
          <w:rFonts w:eastAsia="Calibri"/>
          <w:sz w:val="22"/>
          <w:szCs w:val="22"/>
        </w:rPr>
        <w:t>for the purpose of</w:t>
      </w:r>
      <w:proofErr w:type="gramEnd"/>
      <w:r w:rsidRPr="009D108C">
        <w:rPr>
          <w:rFonts w:eastAsia="Calibri"/>
          <w:sz w:val="22"/>
          <w:szCs w:val="22"/>
        </w:rPr>
        <w:t xml:space="preserve">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  [40 CFR 60.4211(f)(2)(</w:t>
      </w:r>
      <w:proofErr w:type="spellStart"/>
      <w:r w:rsidRPr="009D108C">
        <w:rPr>
          <w:rFonts w:eastAsia="Calibri"/>
          <w:sz w:val="22"/>
          <w:szCs w:val="22"/>
        </w:rPr>
        <w:t>i</w:t>
      </w:r>
      <w:proofErr w:type="spellEnd"/>
      <w:r w:rsidRPr="009D108C">
        <w:rPr>
          <w:rFonts w:eastAsia="Calibri"/>
          <w:sz w:val="22"/>
          <w:szCs w:val="22"/>
        </w:rPr>
        <w:t>)]</w:t>
      </w:r>
    </w:p>
    <w:p w:rsidR="009D108C" w:rsidRPr="009D108C" w:rsidRDefault="00A82A8F" w:rsidP="009D108C">
      <w:pPr>
        <w:numPr>
          <w:ilvl w:val="0"/>
          <w:numId w:val="37"/>
        </w:numPr>
        <w:spacing w:before="60" w:after="60"/>
        <w:ind w:left="720"/>
        <w:rPr>
          <w:rFonts w:eastAsia="Calibri"/>
          <w:sz w:val="22"/>
          <w:szCs w:val="22"/>
        </w:rPr>
      </w:pPr>
      <w:r>
        <w:rPr>
          <w:rFonts w:eastAsia="Calibri"/>
          <w:i/>
          <w:iCs/>
          <w:sz w:val="22"/>
          <w:szCs w:val="22"/>
        </w:rPr>
        <w:t>Non-E</w:t>
      </w:r>
      <w:r w:rsidR="009D108C" w:rsidRPr="009D108C">
        <w:rPr>
          <w:rFonts w:eastAsia="Calibri"/>
          <w:i/>
          <w:iCs/>
          <w:sz w:val="22"/>
          <w:szCs w:val="22"/>
        </w:rPr>
        <w:t>mergency Situation</w:t>
      </w:r>
      <w:r>
        <w:rPr>
          <w:rFonts w:eastAsia="Calibri"/>
          <w:i/>
          <w:iCs/>
          <w:sz w:val="22"/>
          <w:szCs w:val="22"/>
        </w:rPr>
        <w:t>s:</w:t>
      </w:r>
      <w:r w:rsidR="009D108C" w:rsidRPr="009D108C">
        <w:rPr>
          <w:rFonts w:eastAsia="Calibri"/>
          <w:sz w:val="22"/>
          <w:szCs w:val="22"/>
        </w:rPr>
        <w:t xml:space="preserve">  This unit is authorized to operate up to 50 hours per year in non-emergency situations, but those 50 hours are counted towards the 100 hours per year provided for maintenance and testing.  [40 CFR 60.4211(f)(3)]</w:t>
      </w:r>
    </w:p>
    <w:p w:rsidR="009D108C" w:rsidRPr="009D108C" w:rsidRDefault="009D108C" w:rsidP="009D108C">
      <w:pPr>
        <w:rPr>
          <w:rFonts w:eastAsia="Calibri"/>
          <w:sz w:val="22"/>
          <w:szCs w:val="22"/>
        </w:rPr>
      </w:pPr>
      <w:r w:rsidRPr="009D108C">
        <w:rPr>
          <w:rFonts w:eastAsia="Calibri"/>
          <w:sz w:val="22"/>
          <w:szCs w:val="22"/>
        </w:rPr>
        <w:br w:type="page"/>
      </w:r>
    </w:p>
    <w:p w:rsidR="009D108C" w:rsidRPr="009D108C" w:rsidRDefault="009D108C" w:rsidP="009D108C">
      <w:pPr>
        <w:numPr>
          <w:ilvl w:val="0"/>
          <w:numId w:val="33"/>
        </w:numPr>
        <w:tabs>
          <w:tab w:val="left" w:pos="1440"/>
          <w:tab w:val="left" w:pos="1800"/>
          <w:tab w:val="left" w:pos="2160"/>
        </w:tabs>
        <w:spacing w:after="120"/>
        <w:ind w:left="360"/>
        <w:rPr>
          <w:sz w:val="22"/>
        </w:rPr>
      </w:pPr>
      <w:bookmarkStart w:id="55" w:name="_Ref511650276"/>
      <w:r w:rsidRPr="009D108C">
        <w:rPr>
          <w:sz w:val="22"/>
          <w:u w:val="single"/>
        </w:rPr>
        <w:lastRenderedPageBreak/>
        <w:t>Emergency Fire Pump Engine BACT Emission Limits</w:t>
      </w:r>
      <w:r w:rsidRPr="009D108C">
        <w:rPr>
          <w:sz w:val="22"/>
        </w:rPr>
        <w:t>:</w:t>
      </w:r>
      <w:bookmarkEnd w:id="54"/>
      <w:bookmarkEnd w:id="55"/>
      <w:r w:rsidRPr="009D108C">
        <w:rPr>
          <w:sz w:val="22"/>
        </w:rPr>
        <w:t xml:space="preserve">  </w:t>
      </w:r>
    </w:p>
    <w:tbl>
      <w:tblPr>
        <w:tblW w:w="9540" w:type="dxa"/>
        <w:tblInd w:w="4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1620"/>
        <w:gridCol w:w="1530"/>
        <w:gridCol w:w="1710"/>
        <w:gridCol w:w="1800"/>
      </w:tblGrid>
      <w:tr w:rsidR="009D108C" w:rsidRPr="009D108C" w:rsidTr="003F2A9C">
        <w:trPr>
          <w:trHeight w:val="144"/>
        </w:trPr>
        <w:tc>
          <w:tcPr>
            <w:tcW w:w="2880" w:type="dxa"/>
            <w:tcBorders>
              <w:top w:val="single" w:sz="12" w:space="0" w:color="auto"/>
              <w:left w:val="single" w:sz="12" w:space="0" w:color="auto"/>
              <w:bottom w:val="single" w:sz="12" w:space="0" w:color="auto"/>
              <w:right w:val="single" w:sz="6" w:space="0" w:color="auto"/>
            </w:tcBorders>
            <w:shd w:val="clear" w:color="auto" w:fill="B8CCE4"/>
            <w:vAlign w:val="center"/>
            <w:hideMark/>
          </w:tcPr>
          <w:p w:rsidR="009D108C" w:rsidRPr="009D108C" w:rsidRDefault="009D108C" w:rsidP="009D108C">
            <w:pPr>
              <w:tabs>
                <w:tab w:val="left" w:pos="360"/>
                <w:tab w:val="left" w:pos="1440"/>
                <w:tab w:val="left" w:pos="1800"/>
                <w:tab w:val="left" w:pos="2160"/>
              </w:tabs>
              <w:spacing w:before="20" w:after="20"/>
              <w:ind w:left="360"/>
              <w:jc w:val="center"/>
              <w:rPr>
                <w:b/>
                <w:u w:val="single"/>
              </w:rPr>
            </w:pPr>
            <w:r w:rsidRPr="009D108C">
              <w:br w:type="page"/>
            </w:r>
            <w:r w:rsidRPr="009D108C">
              <w:rPr>
                <w:b/>
              </w:rPr>
              <w:t>Fire Pump Engine</w:t>
            </w:r>
            <w:r w:rsidRPr="009D108C">
              <w:rPr>
                <w:b/>
              </w:rPr>
              <w:br/>
            </w:r>
            <w:r w:rsidRPr="009D108C">
              <w:t>(225≤kW&lt;450 or 300≤hp&lt;600)</w:t>
            </w:r>
          </w:p>
        </w:tc>
        <w:tc>
          <w:tcPr>
            <w:tcW w:w="1620" w:type="dxa"/>
            <w:tcBorders>
              <w:top w:val="single" w:sz="12" w:space="0" w:color="auto"/>
              <w:left w:val="single" w:sz="6" w:space="0" w:color="auto"/>
              <w:bottom w:val="single" w:sz="12" w:space="0" w:color="auto"/>
              <w:right w:val="single" w:sz="6" w:space="0" w:color="auto"/>
            </w:tcBorders>
            <w:shd w:val="clear" w:color="auto" w:fill="B8CCE4"/>
            <w:vAlign w:val="center"/>
            <w:hideMark/>
          </w:tcPr>
          <w:p w:rsidR="009D108C" w:rsidRPr="009D108C" w:rsidRDefault="009D108C" w:rsidP="009D108C">
            <w:pPr>
              <w:tabs>
                <w:tab w:val="left" w:pos="1440"/>
                <w:tab w:val="left" w:pos="1800"/>
                <w:tab w:val="left" w:pos="2160"/>
              </w:tabs>
              <w:spacing w:before="20" w:after="20"/>
              <w:jc w:val="center"/>
              <w:rPr>
                <w:b/>
                <w:vertAlign w:val="superscript"/>
              </w:rPr>
            </w:pPr>
            <w:r w:rsidRPr="009D108C">
              <w:rPr>
                <w:b/>
              </w:rPr>
              <w:t>CO</w:t>
            </w:r>
            <w:r w:rsidRPr="009D108C">
              <w:rPr>
                <w:b/>
              </w:rPr>
              <w:br/>
              <w:t>(</w:t>
            </w:r>
            <w:r w:rsidRPr="009D108C">
              <w:t xml:space="preserve">g/kW-hr) </w:t>
            </w:r>
            <w:r w:rsidRPr="009D108C">
              <w:rPr>
                <w:b/>
                <w:vertAlign w:val="superscript"/>
              </w:rPr>
              <w:t>1</w:t>
            </w:r>
          </w:p>
        </w:tc>
        <w:tc>
          <w:tcPr>
            <w:tcW w:w="1530" w:type="dxa"/>
            <w:tcBorders>
              <w:top w:val="single" w:sz="12" w:space="0" w:color="auto"/>
              <w:left w:val="single" w:sz="6" w:space="0" w:color="auto"/>
              <w:bottom w:val="single" w:sz="12" w:space="0" w:color="auto"/>
              <w:right w:val="single" w:sz="6" w:space="0" w:color="auto"/>
            </w:tcBorders>
            <w:shd w:val="clear" w:color="auto" w:fill="B8CCE4"/>
            <w:vAlign w:val="center"/>
            <w:hideMark/>
          </w:tcPr>
          <w:p w:rsidR="009D108C" w:rsidRPr="009D108C" w:rsidRDefault="009D108C" w:rsidP="009D108C">
            <w:pPr>
              <w:tabs>
                <w:tab w:val="left" w:pos="1440"/>
                <w:tab w:val="left" w:pos="1800"/>
                <w:tab w:val="left" w:pos="2160"/>
              </w:tabs>
              <w:spacing w:before="20" w:after="20"/>
              <w:jc w:val="center"/>
              <w:rPr>
                <w:b/>
              </w:rPr>
            </w:pPr>
            <w:r w:rsidRPr="009D108C">
              <w:rPr>
                <w:b/>
              </w:rPr>
              <w:t>PM</w:t>
            </w:r>
            <w:r w:rsidRPr="009D108C">
              <w:rPr>
                <w:b/>
              </w:rPr>
              <w:br/>
              <w:t>(</w:t>
            </w:r>
            <w:r w:rsidRPr="009D108C">
              <w:t>g/kW-hr)</w:t>
            </w:r>
          </w:p>
        </w:tc>
        <w:tc>
          <w:tcPr>
            <w:tcW w:w="1710" w:type="dxa"/>
            <w:tcBorders>
              <w:top w:val="single" w:sz="12" w:space="0" w:color="auto"/>
              <w:left w:val="single" w:sz="6" w:space="0" w:color="auto"/>
              <w:bottom w:val="single" w:sz="12" w:space="0" w:color="auto"/>
              <w:right w:val="single" w:sz="6" w:space="0" w:color="auto"/>
            </w:tcBorders>
            <w:shd w:val="clear" w:color="auto" w:fill="B8CCE4"/>
            <w:vAlign w:val="center"/>
            <w:hideMark/>
          </w:tcPr>
          <w:p w:rsidR="009D108C" w:rsidRPr="009D108C" w:rsidRDefault="009D108C" w:rsidP="009D108C">
            <w:pPr>
              <w:tabs>
                <w:tab w:val="left" w:pos="1440"/>
                <w:tab w:val="left" w:pos="1800"/>
                <w:tab w:val="left" w:pos="2160"/>
              </w:tabs>
              <w:spacing w:before="20" w:after="20"/>
              <w:jc w:val="center"/>
              <w:rPr>
                <w:b/>
              </w:rPr>
            </w:pPr>
            <w:r w:rsidRPr="009D108C">
              <w:rPr>
                <w:b/>
              </w:rPr>
              <w:t xml:space="preserve">NMHC </w:t>
            </w:r>
            <w:r w:rsidRPr="009D108C">
              <w:rPr>
                <w:b/>
                <w:vertAlign w:val="superscript"/>
              </w:rPr>
              <w:t>2</w:t>
            </w:r>
            <w:r w:rsidRPr="009D108C">
              <w:rPr>
                <w:b/>
              </w:rPr>
              <w:t>+NO</w:t>
            </w:r>
            <w:r w:rsidRPr="009D108C">
              <w:rPr>
                <w:b/>
                <w:vertAlign w:val="subscript"/>
              </w:rPr>
              <w:t>X</w:t>
            </w:r>
            <w:r w:rsidRPr="009D108C">
              <w:rPr>
                <w:b/>
                <w:vertAlign w:val="subscript"/>
              </w:rPr>
              <w:br/>
            </w:r>
            <w:r w:rsidRPr="009D108C">
              <w:rPr>
                <w:b/>
              </w:rPr>
              <w:t>(</w:t>
            </w:r>
            <w:r w:rsidRPr="009D108C">
              <w:t>g/kW-hr)</w:t>
            </w:r>
          </w:p>
        </w:tc>
        <w:tc>
          <w:tcPr>
            <w:tcW w:w="1800" w:type="dxa"/>
            <w:tcBorders>
              <w:top w:val="single" w:sz="12" w:space="0" w:color="auto"/>
              <w:left w:val="single" w:sz="6" w:space="0" w:color="auto"/>
              <w:bottom w:val="single" w:sz="12" w:space="0" w:color="auto"/>
              <w:right w:val="single" w:sz="12" w:space="0" w:color="auto"/>
            </w:tcBorders>
            <w:shd w:val="clear" w:color="auto" w:fill="B8CCE4"/>
            <w:vAlign w:val="center"/>
            <w:hideMark/>
          </w:tcPr>
          <w:p w:rsidR="009D108C" w:rsidRPr="009D108C" w:rsidRDefault="009D108C" w:rsidP="009D108C">
            <w:pPr>
              <w:spacing w:before="20" w:after="20"/>
              <w:jc w:val="center"/>
              <w:rPr>
                <w:b/>
              </w:rPr>
            </w:pPr>
            <w:r w:rsidRPr="009D108C">
              <w:rPr>
                <w:b/>
              </w:rPr>
              <w:t xml:space="preserve">Diesel Fuel </w:t>
            </w:r>
            <w:r w:rsidRPr="009D108C">
              <w:rPr>
                <w:b/>
                <w:vertAlign w:val="superscript"/>
              </w:rPr>
              <w:t>3</w:t>
            </w:r>
            <w:r w:rsidRPr="009D108C">
              <w:rPr>
                <w:b/>
              </w:rPr>
              <w:br/>
            </w:r>
            <w:r w:rsidRPr="009D108C">
              <w:t>(sulfur)</w:t>
            </w:r>
          </w:p>
        </w:tc>
      </w:tr>
      <w:tr w:rsidR="009D108C" w:rsidRPr="009D108C" w:rsidTr="003F2A9C">
        <w:trPr>
          <w:trHeight w:val="144"/>
        </w:trPr>
        <w:tc>
          <w:tcPr>
            <w:tcW w:w="2880" w:type="dxa"/>
            <w:tcBorders>
              <w:top w:val="single" w:sz="12" w:space="0" w:color="auto"/>
              <w:left w:val="single" w:sz="12" w:space="0" w:color="auto"/>
              <w:bottom w:val="single" w:sz="12" w:space="0" w:color="auto"/>
              <w:right w:val="single" w:sz="6" w:space="0" w:color="auto"/>
            </w:tcBorders>
            <w:vAlign w:val="center"/>
            <w:hideMark/>
          </w:tcPr>
          <w:p w:rsidR="009D108C" w:rsidRPr="009D108C" w:rsidRDefault="009D108C" w:rsidP="009D108C">
            <w:pPr>
              <w:tabs>
                <w:tab w:val="left" w:pos="360"/>
                <w:tab w:val="left" w:pos="1440"/>
                <w:tab w:val="left" w:pos="1800"/>
                <w:tab w:val="left" w:pos="2160"/>
              </w:tabs>
              <w:spacing w:before="20" w:after="20"/>
              <w:ind w:left="360"/>
              <w:jc w:val="center"/>
            </w:pPr>
            <w:r w:rsidRPr="009D108C">
              <w:t>2009 and later</w:t>
            </w:r>
          </w:p>
        </w:tc>
        <w:tc>
          <w:tcPr>
            <w:tcW w:w="1620" w:type="dxa"/>
            <w:tcBorders>
              <w:top w:val="single" w:sz="12" w:space="0" w:color="auto"/>
              <w:left w:val="single" w:sz="6" w:space="0" w:color="auto"/>
              <w:bottom w:val="single" w:sz="12" w:space="0" w:color="auto"/>
              <w:right w:val="single" w:sz="6" w:space="0" w:color="auto"/>
            </w:tcBorders>
            <w:vAlign w:val="center"/>
            <w:hideMark/>
          </w:tcPr>
          <w:p w:rsidR="009D108C" w:rsidRPr="009D108C" w:rsidRDefault="009D108C" w:rsidP="009D108C">
            <w:pPr>
              <w:tabs>
                <w:tab w:val="left" w:pos="1440"/>
                <w:tab w:val="left" w:pos="1800"/>
                <w:tab w:val="left" w:pos="2160"/>
              </w:tabs>
              <w:spacing w:before="20" w:after="20"/>
              <w:jc w:val="center"/>
            </w:pPr>
            <w:r w:rsidRPr="009D108C">
              <w:t>3.5</w:t>
            </w:r>
          </w:p>
        </w:tc>
        <w:tc>
          <w:tcPr>
            <w:tcW w:w="1530" w:type="dxa"/>
            <w:tcBorders>
              <w:top w:val="single" w:sz="12" w:space="0" w:color="auto"/>
              <w:left w:val="single" w:sz="6" w:space="0" w:color="auto"/>
              <w:bottom w:val="single" w:sz="12" w:space="0" w:color="auto"/>
              <w:right w:val="single" w:sz="6" w:space="0" w:color="auto"/>
            </w:tcBorders>
            <w:vAlign w:val="center"/>
            <w:hideMark/>
          </w:tcPr>
          <w:p w:rsidR="009D108C" w:rsidRPr="009D108C" w:rsidRDefault="009D108C" w:rsidP="009D108C">
            <w:pPr>
              <w:tabs>
                <w:tab w:val="left" w:pos="1440"/>
                <w:tab w:val="left" w:pos="1800"/>
                <w:tab w:val="left" w:pos="2160"/>
              </w:tabs>
              <w:spacing w:before="20" w:after="20"/>
              <w:jc w:val="center"/>
              <w:rPr>
                <w:lang w:val="de-DE"/>
              </w:rPr>
            </w:pPr>
            <w:r w:rsidRPr="009D108C">
              <w:rPr>
                <w:lang w:val="de-DE"/>
              </w:rPr>
              <w:t>0.20</w:t>
            </w:r>
          </w:p>
        </w:tc>
        <w:tc>
          <w:tcPr>
            <w:tcW w:w="1710" w:type="dxa"/>
            <w:tcBorders>
              <w:top w:val="single" w:sz="12" w:space="0" w:color="auto"/>
              <w:left w:val="single" w:sz="6" w:space="0" w:color="auto"/>
              <w:bottom w:val="single" w:sz="12" w:space="0" w:color="auto"/>
              <w:right w:val="single" w:sz="6" w:space="0" w:color="auto"/>
            </w:tcBorders>
            <w:vAlign w:val="center"/>
            <w:hideMark/>
          </w:tcPr>
          <w:p w:rsidR="009D108C" w:rsidRPr="009D108C" w:rsidRDefault="009D108C" w:rsidP="009D108C">
            <w:pPr>
              <w:tabs>
                <w:tab w:val="left" w:pos="1440"/>
                <w:tab w:val="left" w:pos="1800"/>
                <w:tab w:val="left" w:pos="2160"/>
              </w:tabs>
              <w:spacing w:before="20" w:after="20"/>
              <w:jc w:val="center"/>
            </w:pPr>
            <w:r w:rsidRPr="009D108C">
              <w:t>4.0</w:t>
            </w:r>
          </w:p>
        </w:tc>
        <w:tc>
          <w:tcPr>
            <w:tcW w:w="1800" w:type="dxa"/>
            <w:tcBorders>
              <w:top w:val="single" w:sz="12" w:space="0" w:color="auto"/>
              <w:left w:val="single" w:sz="6" w:space="0" w:color="auto"/>
              <w:bottom w:val="single" w:sz="12" w:space="0" w:color="auto"/>
              <w:right w:val="single" w:sz="12" w:space="0" w:color="auto"/>
            </w:tcBorders>
            <w:vAlign w:val="center"/>
            <w:hideMark/>
          </w:tcPr>
          <w:p w:rsidR="009D108C" w:rsidRPr="009D108C" w:rsidRDefault="009D108C" w:rsidP="009D108C">
            <w:pPr>
              <w:spacing w:before="20" w:after="20"/>
              <w:jc w:val="center"/>
            </w:pPr>
            <w:r w:rsidRPr="009D108C">
              <w:t>15 ppm</w:t>
            </w:r>
          </w:p>
        </w:tc>
      </w:tr>
      <w:tr w:rsidR="009D108C" w:rsidRPr="009D108C" w:rsidTr="005810D6">
        <w:trPr>
          <w:trHeight w:val="528"/>
        </w:trPr>
        <w:tc>
          <w:tcPr>
            <w:tcW w:w="9540" w:type="dxa"/>
            <w:gridSpan w:val="5"/>
            <w:tcBorders>
              <w:top w:val="single" w:sz="12" w:space="0" w:color="auto"/>
              <w:left w:val="single" w:sz="12" w:space="0" w:color="auto"/>
              <w:bottom w:val="single" w:sz="12" w:space="0" w:color="auto"/>
              <w:right w:val="single" w:sz="12" w:space="0" w:color="auto"/>
            </w:tcBorders>
            <w:vAlign w:val="center"/>
            <w:hideMark/>
          </w:tcPr>
          <w:p w:rsidR="009D108C" w:rsidRPr="009D108C" w:rsidRDefault="009D108C" w:rsidP="009D108C">
            <w:pPr>
              <w:numPr>
                <w:ilvl w:val="0"/>
                <w:numId w:val="34"/>
              </w:numPr>
              <w:spacing w:before="20" w:after="20"/>
              <w:ind w:left="331" w:hanging="331"/>
            </w:pPr>
            <w:r w:rsidRPr="009D108C">
              <w:rPr>
                <w:sz w:val="18"/>
              </w:rPr>
              <w:t xml:space="preserve">Nonroad diesel specification from 40 CFR part 80, subpart </w:t>
            </w:r>
            <w:r w:rsidRPr="009D108C">
              <w:rPr>
                <w:bCs/>
                <w:sz w:val="18"/>
                <w:szCs w:val="18"/>
              </w:rPr>
              <w:t>I</w:t>
            </w:r>
            <w:r w:rsidRPr="009D108C">
              <w:rPr>
                <w:sz w:val="18"/>
                <w:szCs w:val="18"/>
              </w:rPr>
              <w:t xml:space="preserve"> – </w:t>
            </w:r>
            <w:r w:rsidRPr="009D108C">
              <w:rPr>
                <w:bCs/>
                <w:sz w:val="18"/>
              </w:rPr>
              <w:t xml:space="preserve">Motor Vehicle Diesel Fuel; Nonroad, Locomotive, and Marine Diesel Fuel; and ECA Marine Fuel.  </w:t>
            </w:r>
            <w:hyperlink r:id="rId43" w:history="1">
              <w:r w:rsidRPr="009D108C">
                <w:rPr>
                  <w:color w:val="0000FF"/>
                  <w:sz w:val="18"/>
                  <w:u w:val="single"/>
                </w:rPr>
                <w:t>Link to Non-Road Diesel Spec</w:t>
              </w:r>
            </w:hyperlink>
            <w:r w:rsidRPr="009D108C">
              <w:rPr>
                <w:sz w:val="18"/>
              </w:rPr>
              <w:t xml:space="preserve"> </w:t>
            </w:r>
          </w:p>
        </w:tc>
      </w:tr>
    </w:tbl>
    <w:p w:rsidR="009D108C" w:rsidRPr="009D108C" w:rsidRDefault="009D108C" w:rsidP="009D108C">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360"/>
        <w:rPr>
          <w:sz w:val="22"/>
        </w:rPr>
      </w:pPr>
      <w:r w:rsidRPr="009D108C">
        <w:rPr>
          <w:sz w:val="22"/>
        </w:rPr>
        <w:t xml:space="preserve">[Rules </w:t>
      </w:r>
      <w:r w:rsidRPr="009D108C">
        <w:rPr>
          <w:sz w:val="22"/>
          <w:szCs w:val="22"/>
        </w:rPr>
        <w:t>62-210.200(</w:t>
      </w:r>
      <w:r w:rsidR="005810D6">
        <w:rPr>
          <w:sz w:val="22"/>
          <w:szCs w:val="22"/>
        </w:rPr>
        <w:t>PTE</w:t>
      </w:r>
      <w:r w:rsidRPr="009D108C">
        <w:rPr>
          <w:sz w:val="22"/>
          <w:szCs w:val="22"/>
        </w:rPr>
        <w:t xml:space="preserve">) and </w:t>
      </w:r>
      <w:r w:rsidRPr="009D108C">
        <w:rPr>
          <w:sz w:val="22"/>
        </w:rPr>
        <w:t xml:space="preserve">62-212.400(BACT), F.A.C.; </w:t>
      </w:r>
      <w:r w:rsidR="005810D6">
        <w:rPr>
          <w:sz w:val="22"/>
        </w:rPr>
        <w:t xml:space="preserve">and 40 CFR </w:t>
      </w:r>
      <w:r w:rsidRPr="009D108C">
        <w:rPr>
          <w:sz w:val="22"/>
        </w:rPr>
        <w:t>60.4205]</w:t>
      </w:r>
    </w:p>
    <w:p w:rsidR="00CC4E06" w:rsidRPr="00812FA5" w:rsidRDefault="00CC4E06" w:rsidP="00CC4E06">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b/>
          <w:caps/>
          <w:sz w:val="22"/>
        </w:rPr>
      </w:pPr>
      <w:r w:rsidRPr="00812FA5">
        <w:rPr>
          <w:b/>
          <w:caps/>
          <w:sz w:val="22"/>
        </w:rPr>
        <w:t>Monitoring Requirements</w:t>
      </w:r>
    </w:p>
    <w:p w:rsidR="009D108C" w:rsidRDefault="00CC4E06" w:rsidP="00CC4E06">
      <w:pPr>
        <w:numPr>
          <w:ilvl w:val="0"/>
          <w:numId w:val="33"/>
        </w:numPr>
        <w:tabs>
          <w:tab w:val="clear" w:pos="1080"/>
          <w:tab w:val="num" w:pos="720"/>
          <w:tab w:val="left" w:pos="1440"/>
          <w:tab w:val="left" w:pos="1800"/>
          <w:tab w:val="left" w:pos="2160"/>
        </w:tabs>
        <w:spacing w:before="120" w:after="120"/>
        <w:ind w:left="360"/>
        <w:rPr>
          <w:sz w:val="22"/>
        </w:rPr>
      </w:pPr>
      <w:r w:rsidRPr="00CC4E06">
        <w:rPr>
          <w:sz w:val="22"/>
          <w:u w:val="single"/>
        </w:rPr>
        <w:t>Hour Meter</w:t>
      </w:r>
      <w:r w:rsidRPr="00CC4E06">
        <w:rPr>
          <w:sz w:val="22"/>
        </w:rPr>
        <w:t xml:space="preserve">.  The owner or operator must install a non-resettable hour meter on </w:t>
      </w:r>
      <w:r w:rsidR="00C363D2">
        <w:rPr>
          <w:sz w:val="22"/>
        </w:rPr>
        <w:t xml:space="preserve">the </w:t>
      </w:r>
      <w:r w:rsidRPr="00CC4E06">
        <w:rPr>
          <w:sz w:val="22"/>
        </w:rPr>
        <w:t>engine if one is not already installed.  [40 CFR 60.4209(a)]</w:t>
      </w:r>
    </w:p>
    <w:p w:rsidR="00CC4E06" w:rsidRPr="00812FA5" w:rsidRDefault="00CC4E06" w:rsidP="00CC4E06">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b/>
          <w:caps/>
          <w:sz w:val="22"/>
        </w:rPr>
      </w:pPr>
      <w:r w:rsidRPr="00812FA5">
        <w:rPr>
          <w:b/>
          <w:caps/>
          <w:sz w:val="22"/>
        </w:rPr>
        <w:t>Testing and Compliance Requirements</w:t>
      </w:r>
    </w:p>
    <w:p w:rsidR="00CC4E06" w:rsidRPr="000635AB" w:rsidRDefault="00CC4E06" w:rsidP="00CC4E06">
      <w:pPr>
        <w:numPr>
          <w:ilvl w:val="0"/>
          <w:numId w:val="33"/>
        </w:numPr>
        <w:tabs>
          <w:tab w:val="clear" w:pos="1080"/>
          <w:tab w:val="num" w:pos="720"/>
          <w:tab w:val="left" w:pos="1440"/>
          <w:tab w:val="left" w:pos="1800"/>
          <w:tab w:val="left" w:pos="2160"/>
        </w:tabs>
        <w:spacing w:before="120" w:after="120"/>
        <w:ind w:left="360"/>
        <w:rPr>
          <w:sz w:val="22"/>
          <w:szCs w:val="22"/>
        </w:rPr>
      </w:pPr>
      <w:r w:rsidRPr="00CC4E06">
        <w:rPr>
          <w:sz w:val="22"/>
          <w:u w:val="single"/>
        </w:rPr>
        <w:t>Operation</w:t>
      </w:r>
      <w:r w:rsidRPr="000635AB">
        <w:rPr>
          <w:color w:val="000000"/>
          <w:sz w:val="22"/>
          <w:szCs w:val="22"/>
          <w:u w:val="single"/>
        </w:rPr>
        <w:t xml:space="preserve"> and Maintenance</w:t>
      </w:r>
      <w:r w:rsidRPr="000635AB">
        <w:rPr>
          <w:color w:val="000000"/>
          <w:sz w:val="22"/>
          <w:szCs w:val="22"/>
        </w:rPr>
        <w:t>.  The owner or operato</w:t>
      </w:r>
      <w:r w:rsidR="00C363D2">
        <w:rPr>
          <w:color w:val="000000"/>
          <w:sz w:val="22"/>
          <w:szCs w:val="22"/>
        </w:rPr>
        <w:t>r must operate and maintain the</w:t>
      </w:r>
      <w:r w:rsidRPr="000635AB">
        <w:rPr>
          <w:color w:val="000000"/>
          <w:sz w:val="22"/>
          <w:szCs w:val="22"/>
        </w:rPr>
        <w:t xml:space="preserve"> engine according to the manufacturer's written instructions.  In addition, owners and operators may only change those settings that are permitted by the manufacturer.  </w:t>
      </w:r>
      <w:r w:rsidRPr="000635AB">
        <w:rPr>
          <w:sz w:val="22"/>
          <w:szCs w:val="22"/>
        </w:rPr>
        <w:t xml:space="preserve">The RICE must be maintained and operated to meet </w:t>
      </w:r>
      <w:r w:rsidRPr="000635AB">
        <w:rPr>
          <w:color w:val="000000"/>
          <w:sz w:val="22"/>
          <w:szCs w:val="22"/>
        </w:rPr>
        <w:t xml:space="preserve">the emissions limits in </w:t>
      </w:r>
      <w:r w:rsidRPr="00386E93">
        <w:rPr>
          <w:b/>
          <w:color w:val="000000"/>
          <w:sz w:val="22"/>
          <w:szCs w:val="22"/>
        </w:rPr>
        <w:t xml:space="preserve">Specific Condition </w:t>
      </w:r>
      <w:r>
        <w:rPr>
          <w:b/>
          <w:sz w:val="22"/>
        </w:rPr>
        <w:fldChar w:fldCharType="begin"/>
      </w:r>
      <w:r>
        <w:rPr>
          <w:b/>
          <w:color w:val="000000"/>
          <w:sz w:val="22"/>
          <w:szCs w:val="22"/>
        </w:rPr>
        <w:instrText xml:space="preserve"> REF _Ref511650276 \r \h </w:instrText>
      </w:r>
      <w:r>
        <w:rPr>
          <w:b/>
          <w:sz w:val="22"/>
        </w:rPr>
      </w:r>
      <w:r>
        <w:rPr>
          <w:b/>
          <w:sz w:val="22"/>
        </w:rPr>
        <w:fldChar w:fldCharType="separate"/>
      </w:r>
      <w:r>
        <w:rPr>
          <w:b/>
          <w:color w:val="000000"/>
          <w:sz w:val="22"/>
          <w:szCs w:val="22"/>
        </w:rPr>
        <w:t>6</w:t>
      </w:r>
      <w:r>
        <w:rPr>
          <w:b/>
          <w:sz w:val="22"/>
        </w:rPr>
        <w:fldChar w:fldCharType="end"/>
      </w:r>
      <w:r w:rsidRPr="000635AB">
        <w:rPr>
          <w:sz w:val="22"/>
          <w:szCs w:val="22"/>
        </w:rPr>
        <w:t xml:space="preserve"> over the entire life of the engine</w:t>
      </w:r>
      <w:r w:rsidRPr="000635AB">
        <w:rPr>
          <w:color w:val="000000"/>
          <w:sz w:val="22"/>
          <w:szCs w:val="22"/>
        </w:rPr>
        <w:t>.  [</w:t>
      </w:r>
      <w:r w:rsidRPr="000635AB">
        <w:rPr>
          <w:sz w:val="22"/>
          <w:szCs w:val="22"/>
        </w:rPr>
        <w:t>40 CFR 60.4206</w:t>
      </w:r>
      <w:r w:rsidRPr="000635AB">
        <w:rPr>
          <w:color w:val="000000"/>
          <w:sz w:val="22"/>
          <w:szCs w:val="22"/>
        </w:rPr>
        <w:t xml:space="preserve"> &amp; 4211(a)]</w:t>
      </w:r>
    </w:p>
    <w:p w:rsidR="00CC4E06" w:rsidRPr="00B92ABB" w:rsidRDefault="00CC4E06" w:rsidP="00CC4E06">
      <w:pPr>
        <w:numPr>
          <w:ilvl w:val="0"/>
          <w:numId w:val="33"/>
        </w:numPr>
        <w:tabs>
          <w:tab w:val="clear" w:pos="1080"/>
          <w:tab w:val="num" w:pos="720"/>
          <w:tab w:val="left" w:pos="1440"/>
          <w:tab w:val="left" w:pos="1800"/>
          <w:tab w:val="left" w:pos="2160"/>
        </w:tabs>
        <w:spacing w:before="120" w:after="120"/>
        <w:ind w:left="360"/>
        <w:rPr>
          <w:rFonts w:eastAsia="Calibri"/>
          <w:bCs/>
          <w:caps/>
          <w:sz w:val="22"/>
          <w:szCs w:val="22"/>
        </w:rPr>
      </w:pPr>
      <w:r w:rsidRPr="000635AB">
        <w:rPr>
          <w:color w:val="000000"/>
          <w:sz w:val="22"/>
          <w:szCs w:val="22"/>
          <w:u w:val="single"/>
        </w:rPr>
        <w:t xml:space="preserve">Engine </w:t>
      </w:r>
      <w:r w:rsidRPr="00CC4E06">
        <w:rPr>
          <w:sz w:val="22"/>
          <w:u w:val="single"/>
        </w:rPr>
        <w:t>Certification</w:t>
      </w:r>
      <w:r w:rsidRPr="000635AB">
        <w:rPr>
          <w:color w:val="000000"/>
          <w:sz w:val="22"/>
          <w:szCs w:val="22"/>
          <w:u w:val="single"/>
        </w:rPr>
        <w:t xml:space="preserve"> Requirements</w:t>
      </w:r>
      <w:r w:rsidRPr="000635AB">
        <w:rPr>
          <w:color w:val="000000"/>
          <w:sz w:val="22"/>
          <w:szCs w:val="22"/>
        </w:rPr>
        <w:t xml:space="preserve">.  The owner or operator must comply with the emissions standards specified above by having purchased an engine certified by the manufacturer to meet those limits.  </w:t>
      </w:r>
      <w:r>
        <w:rPr>
          <w:color w:val="000000"/>
          <w:sz w:val="22"/>
          <w:szCs w:val="22"/>
        </w:rPr>
        <w:t>The RICE</w:t>
      </w:r>
      <w:r w:rsidRPr="000635AB">
        <w:rPr>
          <w:color w:val="000000"/>
          <w:sz w:val="22"/>
          <w:szCs w:val="22"/>
        </w:rPr>
        <w:t xml:space="preserve"> must </w:t>
      </w:r>
      <w:r>
        <w:rPr>
          <w:color w:val="000000"/>
          <w:sz w:val="22"/>
          <w:szCs w:val="22"/>
        </w:rPr>
        <w:t>be</w:t>
      </w:r>
      <w:r w:rsidRPr="000635AB">
        <w:rPr>
          <w:color w:val="000000"/>
          <w:sz w:val="22"/>
          <w:szCs w:val="22"/>
        </w:rPr>
        <w:t xml:space="preserve"> installed and configured according to the manufacturer’s emission-related specifications, except as permitted in </w:t>
      </w:r>
      <w:r w:rsidRPr="00F74DF7">
        <w:rPr>
          <w:b/>
          <w:color w:val="000000"/>
          <w:sz w:val="22"/>
          <w:szCs w:val="22"/>
        </w:rPr>
        <w:t xml:space="preserve">Specific Condition </w:t>
      </w:r>
      <w:r>
        <w:rPr>
          <w:b/>
          <w:sz w:val="22"/>
        </w:rPr>
        <w:fldChar w:fldCharType="begin"/>
      </w:r>
      <w:r>
        <w:rPr>
          <w:b/>
          <w:color w:val="000000"/>
          <w:sz w:val="22"/>
          <w:szCs w:val="22"/>
        </w:rPr>
        <w:instrText xml:space="preserve"> REF _Ref513475561 \r \h </w:instrText>
      </w:r>
      <w:r>
        <w:rPr>
          <w:b/>
          <w:sz w:val="22"/>
        </w:rPr>
      </w:r>
      <w:r>
        <w:rPr>
          <w:b/>
          <w:sz w:val="22"/>
        </w:rPr>
        <w:fldChar w:fldCharType="separate"/>
      </w:r>
      <w:r>
        <w:rPr>
          <w:b/>
          <w:color w:val="000000"/>
          <w:sz w:val="22"/>
          <w:szCs w:val="22"/>
        </w:rPr>
        <w:t>10</w:t>
      </w:r>
      <w:r>
        <w:rPr>
          <w:b/>
          <w:sz w:val="22"/>
        </w:rPr>
        <w:fldChar w:fldCharType="end"/>
      </w:r>
      <w:r w:rsidRPr="000635AB">
        <w:rPr>
          <w:b/>
          <w:sz w:val="22"/>
        </w:rPr>
        <w:t>.</w:t>
      </w:r>
      <w:r w:rsidRPr="000635AB">
        <w:rPr>
          <w:color w:val="000000"/>
          <w:sz w:val="22"/>
          <w:szCs w:val="22"/>
        </w:rPr>
        <w:t xml:space="preserve">  [40 CFR 60.4211(c)]</w:t>
      </w:r>
    </w:p>
    <w:p w:rsidR="00CC4E06" w:rsidRPr="00B92ABB" w:rsidRDefault="00CC4E06" w:rsidP="00B92ABB">
      <w:pPr>
        <w:numPr>
          <w:ilvl w:val="0"/>
          <w:numId w:val="33"/>
        </w:numPr>
        <w:tabs>
          <w:tab w:val="clear" w:pos="1080"/>
          <w:tab w:val="left" w:pos="1440"/>
          <w:tab w:val="left" w:pos="1800"/>
          <w:tab w:val="left" w:pos="2160"/>
        </w:tabs>
        <w:spacing w:before="120" w:after="120"/>
        <w:ind w:left="360"/>
        <w:rPr>
          <w:rFonts w:eastAsia="Calibri"/>
          <w:bCs/>
          <w:caps/>
          <w:sz w:val="22"/>
          <w:szCs w:val="22"/>
        </w:rPr>
      </w:pPr>
      <w:bookmarkStart w:id="56" w:name="_Ref513475561"/>
      <w:r w:rsidRPr="00CC4E06">
        <w:rPr>
          <w:sz w:val="22"/>
          <w:u w:val="single"/>
        </w:rPr>
        <w:t>Compliance</w:t>
      </w:r>
      <w:r w:rsidRPr="000635AB">
        <w:rPr>
          <w:color w:val="000000"/>
          <w:sz w:val="22"/>
          <w:szCs w:val="22"/>
          <w:u w:val="single"/>
        </w:rPr>
        <w:t xml:space="preserve"> Requirements Due to Loss of Certification</w:t>
      </w:r>
      <w:r w:rsidRPr="000635AB">
        <w:rPr>
          <w:color w:val="000000"/>
          <w:sz w:val="22"/>
          <w:szCs w:val="22"/>
        </w:rPr>
        <w:t xml:space="preserve">.  </w:t>
      </w:r>
      <w:r w:rsidRPr="000635AB">
        <w:rPr>
          <w:rFonts w:eastAsia="Calibri"/>
          <w:sz w:val="22"/>
          <w:szCs w:val="22"/>
        </w:rPr>
        <w:t xml:space="preserve">If you do not install, configure, operate, and maintain your engine and control device according to the manufacturer's emission-related written instructions, or you change emission-related settings in a way that is not permitted by the manufacturer, </w:t>
      </w:r>
      <w:r w:rsidRPr="000635AB">
        <w:rPr>
          <w:rFonts w:eastAsia="Calibri"/>
          <w:bCs/>
          <w:sz w:val="22"/>
          <w:szCs w:val="22"/>
        </w:rPr>
        <w:t>y</w:t>
      </w:r>
      <w:r w:rsidRPr="000635AB">
        <w:rPr>
          <w:rFonts w:eastAsia="Calibri"/>
          <w:sz w:val="22"/>
          <w:szCs w:val="22"/>
        </w:rPr>
        <w:t>ou must keep a maintenance plan and records of conducted maintenance and must, to the extent practicable, maintain and operate the engine in a manner consistent with good air pollution control practice for minimizing emissions.  In addition</w:t>
      </w:r>
      <w:r>
        <w:rPr>
          <w:rFonts w:eastAsia="Calibri"/>
          <w:sz w:val="22"/>
          <w:szCs w:val="22"/>
        </w:rPr>
        <w:t xml:space="preserve">, </w:t>
      </w:r>
      <w:r w:rsidR="00AA4D73">
        <w:rPr>
          <w:rFonts w:eastAsia="Calibri"/>
          <w:sz w:val="22"/>
          <w:szCs w:val="22"/>
        </w:rPr>
        <w:t>y</w:t>
      </w:r>
      <w:r w:rsidR="00B92ABB" w:rsidRPr="00B92ABB">
        <w:rPr>
          <w:rFonts w:eastAsia="Calibri"/>
          <w:sz w:val="22"/>
          <w:szCs w:val="22"/>
        </w:rPr>
        <w:t>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w:t>
      </w:r>
      <w:bookmarkEnd w:id="56"/>
      <w:r w:rsidR="00B92ABB" w:rsidRPr="00B92ABB">
        <w:rPr>
          <w:rFonts w:eastAsia="Calibri"/>
          <w:bCs/>
          <w:caps/>
          <w:sz w:val="22"/>
          <w:szCs w:val="22"/>
        </w:rPr>
        <w:t xml:space="preserve">  </w:t>
      </w:r>
      <w:r w:rsidRPr="00B92ABB">
        <w:rPr>
          <w:rFonts w:eastAsia="Calibri"/>
          <w:bCs/>
          <w:caps/>
          <w:sz w:val="22"/>
          <w:szCs w:val="22"/>
        </w:rPr>
        <w:t>[40 CFR 60.4211(</w:t>
      </w:r>
      <w:r w:rsidRPr="00B92ABB">
        <w:rPr>
          <w:rFonts w:eastAsia="Calibri"/>
          <w:bCs/>
          <w:sz w:val="22"/>
          <w:szCs w:val="22"/>
        </w:rPr>
        <w:t>c</w:t>
      </w:r>
      <w:r w:rsidRPr="00B92ABB">
        <w:rPr>
          <w:rFonts w:eastAsia="Calibri"/>
          <w:bCs/>
          <w:caps/>
          <w:sz w:val="22"/>
          <w:szCs w:val="22"/>
        </w:rPr>
        <w:t xml:space="preserve">) &amp; </w:t>
      </w:r>
      <w:r w:rsidRPr="00B92ABB">
        <w:rPr>
          <w:rFonts w:eastAsia="Calibri"/>
          <w:bCs/>
          <w:sz w:val="22"/>
          <w:szCs w:val="22"/>
        </w:rPr>
        <w:t>(g)</w:t>
      </w:r>
      <w:r w:rsidRPr="00B92ABB">
        <w:rPr>
          <w:rFonts w:eastAsia="Calibri"/>
          <w:color w:val="000000"/>
          <w:sz w:val="22"/>
          <w:szCs w:val="22"/>
        </w:rPr>
        <w:t>]</w:t>
      </w:r>
    </w:p>
    <w:p w:rsidR="00CC4E06" w:rsidRPr="000635AB" w:rsidRDefault="00CC4E06" w:rsidP="00412181">
      <w:pPr>
        <w:numPr>
          <w:ilvl w:val="0"/>
          <w:numId w:val="33"/>
        </w:numPr>
        <w:tabs>
          <w:tab w:val="clear" w:pos="1080"/>
          <w:tab w:val="num" w:pos="720"/>
          <w:tab w:val="left" w:pos="1440"/>
          <w:tab w:val="left" w:pos="1800"/>
          <w:tab w:val="left" w:pos="2160"/>
        </w:tabs>
        <w:spacing w:before="120" w:after="60"/>
        <w:ind w:left="360"/>
        <w:rPr>
          <w:color w:val="000000"/>
          <w:sz w:val="22"/>
          <w:szCs w:val="22"/>
        </w:rPr>
      </w:pPr>
      <w:bookmarkStart w:id="57" w:name="_Ref513534382"/>
      <w:r w:rsidRPr="00351B4C">
        <w:rPr>
          <w:color w:val="000000"/>
          <w:sz w:val="22"/>
          <w:szCs w:val="22"/>
          <w:u w:val="single"/>
        </w:rPr>
        <w:t>Testing</w:t>
      </w:r>
      <w:r w:rsidRPr="000635AB">
        <w:rPr>
          <w:rFonts w:eastAsia="Calibri"/>
          <w:bCs/>
          <w:sz w:val="22"/>
          <w:szCs w:val="22"/>
          <w:u w:val="single"/>
        </w:rPr>
        <w:t xml:space="preserve"> </w:t>
      </w:r>
      <w:r w:rsidRPr="00CC4E06">
        <w:rPr>
          <w:sz w:val="22"/>
          <w:u w:val="single"/>
        </w:rPr>
        <w:t>Requirements</w:t>
      </w:r>
      <w:r w:rsidRPr="000635AB">
        <w:rPr>
          <w:rFonts w:eastAsia="Calibri"/>
          <w:bCs/>
          <w:caps/>
          <w:sz w:val="22"/>
          <w:szCs w:val="22"/>
        </w:rPr>
        <w:t>.</w:t>
      </w:r>
      <w:r w:rsidRPr="000635AB">
        <w:rPr>
          <w:rFonts w:eastAsia="Calibri"/>
          <w:bCs/>
          <w:sz w:val="22"/>
          <w:szCs w:val="22"/>
        </w:rPr>
        <w:t xml:space="preserve">  In the event performance tests are required pursuant to </w:t>
      </w:r>
      <w:r w:rsidR="00B92ABB" w:rsidRPr="00F74DF7">
        <w:rPr>
          <w:b/>
          <w:color w:val="000000"/>
          <w:sz w:val="22"/>
          <w:szCs w:val="22"/>
        </w:rPr>
        <w:t xml:space="preserve">Specific Condition </w:t>
      </w:r>
      <w:r w:rsidR="00B92ABB">
        <w:rPr>
          <w:b/>
          <w:sz w:val="22"/>
        </w:rPr>
        <w:fldChar w:fldCharType="begin"/>
      </w:r>
      <w:r w:rsidR="00B92ABB">
        <w:rPr>
          <w:b/>
          <w:color w:val="000000"/>
          <w:sz w:val="22"/>
          <w:szCs w:val="22"/>
        </w:rPr>
        <w:instrText xml:space="preserve"> REF _Ref513475561 \r \h </w:instrText>
      </w:r>
      <w:r w:rsidR="00B92ABB">
        <w:rPr>
          <w:b/>
          <w:sz w:val="22"/>
        </w:rPr>
      </w:r>
      <w:r w:rsidR="00B92ABB">
        <w:rPr>
          <w:b/>
          <w:sz w:val="22"/>
        </w:rPr>
        <w:fldChar w:fldCharType="separate"/>
      </w:r>
      <w:r w:rsidR="00B92ABB">
        <w:rPr>
          <w:b/>
          <w:color w:val="000000"/>
          <w:sz w:val="22"/>
          <w:szCs w:val="22"/>
        </w:rPr>
        <w:t>10</w:t>
      </w:r>
      <w:r w:rsidR="00B92ABB">
        <w:rPr>
          <w:b/>
          <w:sz w:val="22"/>
        </w:rPr>
        <w:fldChar w:fldCharType="end"/>
      </w:r>
      <w:r w:rsidRPr="000635AB">
        <w:rPr>
          <w:rFonts w:eastAsia="Calibri"/>
          <w:b/>
          <w:bCs/>
          <w:sz w:val="22"/>
          <w:szCs w:val="22"/>
        </w:rPr>
        <w:t>.</w:t>
      </w:r>
      <w:r w:rsidRPr="000635AB">
        <w:rPr>
          <w:rFonts w:eastAsia="Calibri"/>
          <w:bCs/>
          <w:sz w:val="22"/>
          <w:szCs w:val="22"/>
        </w:rPr>
        <w:t>, the following requirements shall be met:</w:t>
      </w:r>
      <w:bookmarkEnd w:id="57"/>
    </w:p>
    <w:p w:rsidR="00CC4E06" w:rsidRPr="000635AB" w:rsidRDefault="00CC4E06" w:rsidP="00CC4E06">
      <w:pPr>
        <w:numPr>
          <w:ilvl w:val="0"/>
          <w:numId w:val="40"/>
        </w:numPr>
        <w:autoSpaceDE w:val="0"/>
        <w:autoSpaceDN w:val="0"/>
        <w:adjustRightInd w:val="0"/>
        <w:rPr>
          <w:color w:val="000000"/>
          <w:sz w:val="22"/>
          <w:szCs w:val="22"/>
        </w:rPr>
      </w:pPr>
      <w:r w:rsidRPr="000635AB">
        <w:rPr>
          <w:rFonts w:eastAsia="Calibri"/>
          <w:i/>
          <w:sz w:val="22"/>
          <w:szCs w:val="22"/>
        </w:rPr>
        <w:t>Testing Procedures</w:t>
      </w:r>
      <w:r w:rsidRPr="000635AB">
        <w:rPr>
          <w:rFonts w:eastAsia="Calibri"/>
          <w:sz w:val="22"/>
          <w:szCs w:val="22"/>
        </w:rPr>
        <w:t xml:space="preserve">.  The performance test must be conducted according to the in-use testing procedures in 40 CFR Part 1039, Subpart F.  </w:t>
      </w:r>
      <w:hyperlink r:id="rId44" w:anchor="40:34.0.1.1.5.6" w:tooltip="Click here to go to the Federal eCFR for Subpart F" w:history="1">
        <w:r w:rsidRPr="000635AB">
          <w:rPr>
            <w:rFonts w:eastAsia="Calibri"/>
            <w:color w:val="0000FF"/>
            <w:sz w:val="22"/>
            <w:szCs w:val="22"/>
            <w:u w:val="single"/>
          </w:rPr>
          <w:t>Link to Subpart F</w:t>
        </w:r>
      </w:hyperlink>
      <w:r w:rsidRPr="000635AB">
        <w:rPr>
          <w:rFonts w:eastAsia="Calibri"/>
          <w:sz w:val="22"/>
          <w:szCs w:val="22"/>
        </w:rPr>
        <w:t xml:space="preserve"> </w:t>
      </w:r>
      <w:r w:rsidRPr="003C2940">
        <w:rPr>
          <w:rFonts w:eastAsia="Calibri"/>
          <w:sz w:val="22"/>
          <w:szCs w:val="22"/>
        </w:rPr>
        <w:t>or the testing procedures outlined in 40 CFR 60.4213</w:t>
      </w:r>
      <w:r>
        <w:rPr>
          <w:rFonts w:eastAsia="Calibri"/>
          <w:sz w:val="22"/>
          <w:szCs w:val="22"/>
        </w:rPr>
        <w:t>.</w:t>
      </w:r>
    </w:p>
    <w:p w:rsidR="00CC4E06" w:rsidRPr="000635AB" w:rsidRDefault="00CC4E06" w:rsidP="00CC4E06">
      <w:pPr>
        <w:numPr>
          <w:ilvl w:val="0"/>
          <w:numId w:val="40"/>
        </w:numPr>
        <w:autoSpaceDE w:val="0"/>
        <w:autoSpaceDN w:val="0"/>
        <w:adjustRightInd w:val="0"/>
        <w:rPr>
          <w:color w:val="000000"/>
          <w:sz w:val="22"/>
          <w:szCs w:val="22"/>
        </w:rPr>
      </w:pPr>
      <w:r w:rsidRPr="000635AB">
        <w:rPr>
          <w:rFonts w:eastAsia="Calibri"/>
          <w:i/>
          <w:sz w:val="22"/>
          <w:szCs w:val="22"/>
        </w:rPr>
        <w:t>NTE Standards</w:t>
      </w:r>
      <w:r w:rsidRPr="000635AB">
        <w:rPr>
          <w:rFonts w:eastAsia="Calibri"/>
          <w:sz w:val="22"/>
          <w:szCs w:val="22"/>
        </w:rPr>
        <w:t xml:space="preserve">.  </w:t>
      </w:r>
      <w:r w:rsidRPr="003C2940">
        <w:rPr>
          <w:rFonts w:eastAsia="Calibri"/>
          <w:sz w:val="22"/>
          <w:szCs w:val="22"/>
        </w:rPr>
        <w:t xml:space="preserve">If 40 CFR Part 1039 Subpart F is used, </w:t>
      </w:r>
      <w:r>
        <w:rPr>
          <w:rFonts w:eastAsia="Calibri"/>
          <w:sz w:val="22"/>
          <w:szCs w:val="22"/>
        </w:rPr>
        <w:t>e</w:t>
      </w:r>
      <w:r w:rsidRPr="000635AB">
        <w:rPr>
          <w:rFonts w:eastAsia="Calibri"/>
          <w:sz w:val="22"/>
          <w:szCs w:val="22"/>
        </w:rPr>
        <w:t xml:space="preserve">xhaust emissions from the engine must not exceed the not-to-exceed (NTE) numerical requirements, rounded to the same number of decimal places as the applicable standard (STD) in </w:t>
      </w:r>
      <w:r w:rsidR="008B105B" w:rsidRPr="00386E93">
        <w:rPr>
          <w:b/>
          <w:color w:val="000000"/>
          <w:sz w:val="22"/>
          <w:szCs w:val="22"/>
        </w:rPr>
        <w:t xml:space="preserve">Specific Condition </w:t>
      </w:r>
      <w:r w:rsidR="008B105B">
        <w:rPr>
          <w:b/>
          <w:sz w:val="22"/>
        </w:rPr>
        <w:fldChar w:fldCharType="begin"/>
      </w:r>
      <w:r w:rsidR="008B105B">
        <w:rPr>
          <w:b/>
          <w:color w:val="000000"/>
          <w:sz w:val="22"/>
          <w:szCs w:val="22"/>
        </w:rPr>
        <w:instrText xml:space="preserve"> REF _Ref511650276 \r \h </w:instrText>
      </w:r>
      <w:r w:rsidR="008B105B">
        <w:rPr>
          <w:b/>
          <w:sz w:val="22"/>
        </w:rPr>
      </w:r>
      <w:r w:rsidR="008B105B">
        <w:rPr>
          <w:b/>
          <w:sz w:val="22"/>
        </w:rPr>
        <w:fldChar w:fldCharType="separate"/>
      </w:r>
      <w:r w:rsidR="008B105B">
        <w:rPr>
          <w:b/>
          <w:color w:val="000000"/>
          <w:sz w:val="22"/>
          <w:szCs w:val="22"/>
        </w:rPr>
        <w:t>6</w:t>
      </w:r>
      <w:r w:rsidR="008B105B">
        <w:rPr>
          <w:b/>
          <w:sz w:val="22"/>
        </w:rPr>
        <w:fldChar w:fldCharType="end"/>
      </w:r>
      <w:r w:rsidRPr="000635AB">
        <w:rPr>
          <w:rFonts w:eastAsia="Calibri"/>
          <w:sz w:val="22"/>
          <w:szCs w:val="22"/>
        </w:rPr>
        <w:t>, determined from the following equation:</w:t>
      </w:r>
    </w:p>
    <w:p w:rsidR="00CC4E06" w:rsidRPr="000635AB" w:rsidRDefault="00CC4E06" w:rsidP="00CC4E06">
      <w:pPr>
        <w:tabs>
          <w:tab w:val="left" w:pos="1080"/>
        </w:tabs>
        <w:autoSpaceDE w:val="0"/>
        <w:autoSpaceDN w:val="0"/>
        <w:adjustRightInd w:val="0"/>
        <w:ind w:left="1080"/>
        <w:rPr>
          <w:color w:val="000000"/>
          <w:sz w:val="22"/>
          <w:szCs w:val="22"/>
        </w:rPr>
      </w:pPr>
      <w:r w:rsidRPr="000635AB">
        <w:rPr>
          <w:color w:val="000000"/>
          <w:sz w:val="22"/>
          <w:szCs w:val="22"/>
        </w:rPr>
        <w:t>NTE Requirement for Each Pollutant = (1.25) x (</w:t>
      </w:r>
      <w:proofErr w:type="gramStart"/>
      <w:r w:rsidRPr="000635AB">
        <w:rPr>
          <w:color w:val="000000"/>
          <w:sz w:val="22"/>
          <w:szCs w:val="22"/>
        </w:rPr>
        <w:t>STD)  (</w:t>
      </w:r>
      <w:proofErr w:type="gramEnd"/>
      <w:r w:rsidRPr="000635AB">
        <w:rPr>
          <w:color w:val="000000"/>
          <w:sz w:val="22"/>
          <w:szCs w:val="22"/>
        </w:rPr>
        <w:t>Eq. 1)</w:t>
      </w:r>
    </w:p>
    <w:p w:rsidR="00CC4E06" w:rsidRPr="000635AB" w:rsidRDefault="00CC4E06" w:rsidP="00CC4E06">
      <w:pPr>
        <w:tabs>
          <w:tab w:val="left" w:pos="360"/>
        </w:tabs>
        <w:autoSpaceDE w:val="0"/>
        <w:autoSpaceDN w:val="0"/>
        <w:adjustRightInd w:val="0"/>
        <w:spacing w:after="120"/>
        <w:ind w:left="360"/>
        <w:rPr>
          <w:color w:val="000000"/>
          <w:sz w:val="22"/>
          <w:szCs w:val="22"/>
        </w:rPr>
      </w:pPr>
      <w:r w:rsidRPr="000635AB">
        <w:rPr>
          <w:color w:val="000000"/>
          <w:sz w:val="22"/>
          <w:szCs w:val="22"/>
        </w:rPr>
        <w:t>[40 CFR 60.4212(a) &amp; (c)]</w:t>
      </w:r>
    </w:p>
    <w:p w:rsidR="004D3AD2" w:rsidRDefault="00CC4E06" w:rsidP="00CC4E06">
      <w:pPr>
        <w:numPr>
          <w:ilvl w:val="0"/>
          <w:numId w:val="33"/>
        </w:numPr>
        <w:tabs>
          <w:tab w:val="clear" w:pos="1080"/>
          <w:tab w:val="num" w:pos="720"/>
          <w:tab w:val="left" w:pos="1440"/>
          <w:tab w:val="left" w:pos="1800"/>
          <w:tab w:val="left" w:pos="2160"/>
        </w:tabs>
        <w:spacing w:before="120" w:after="120"/>
        <w:ind w:left="360"/>
        <w:rPr>
          <w:rFonts w:eastAsia="Calibri"/>
          <w:sz w:val="22"/>
          <w:szCs w:val="22"/>
        </w:rPr>
      </w:pPr>
      <w:r w:rsidRPr="00DA382B">
        <w:rPr>
          <w:color w:val="000000"/>
          <w:sz w:val="22"/>
          <w:szCs w:val="22"/>
          <w:u w:val="single"/>
        </w:rPr>
        <w:t>Common</w:t>
      </w:r>
      <w:r w:rsidRPr="00DA382B">
        <w:rPr>
          <w:rFonts w:eastAsia="Calibri"/>
          <w:sz w:val="22"/>
          <w:szCs w:val="22"/>
          <w:u w:val="single"/>
        </w:rPr>
        <w:t xml:space="preserve"> </w:t>
      </w:r>
      <w:r w:rsidRPr="00CC4E06">
        <w:rPr>
          <w:sz w:val="22"/>
          <w:u w:val="single"/>
        </w:rPr>
        <w:t>Testing</w:t>
      </w:r>
      <w:r w:rsidRPr="00DA382B">
        <w:rPr>
          <w:rFonts w:eastAsia="Calibri"/>
          <w:sz w:val="22"/>
          <w:szCs w:val="22"/>
          <w:u w:val="single"/>
        </w:rPr>
        <w:t xml:space="preserve"> </w:t>
      </w:r>
      <w:r w:rsidRPr="00DA382B">
        <w:rPr>
          <w:color w:val="000000"/>
          <w:sz w:val="22"/>
          <w:szCs w:val="22"/>
          <w:u w:val="single"/>
        </w:rPr>
        <w:t>Requirements</w:t>
      </w:r>
      <w:r w:rsidRPr="00DA382B">
        <w:rPr>
          <w:rFonts w:eastAsia="Calibri"/>
          <w:sz w:val="22"/>
          <w:szCs w:val="22"/>
        </w:rPr>
        <w:t xml:space="preserve">.  Except as otherwise </w:t>
      </w:r>
      <w:r w:rsidRPr="00DA382B">
        <w:rPr>
          <w:rFonts w:eastAsia="Calibri"/>
          <w:bCs/>
          <w:sz w:val="22"/>
          <w:szCs w:val="22"/>
        </w:rPr>
        <w:t>specified</w:t>
      </w:r>
      <w:r w:rsidRPr="00DA382B">
        <w:rPr>
          <w:rFonts w:eastAsia="Calibri"/>
          <w:sz w:val="22"/>
          <w:szCs w:val="22"/>
        </w:rPr>
        <w:t xml:space="preserve"> in this section of the permit, tests shall</w:t>
      </w:r>
      <w:r>
        <w:rPr>
          <w:rFonts w:eastAsia="Calibri"/>
          <w:sz w:val="22"/>
          <w:szCs w:val="22"/>
        </w:rPr>
        <w:t xml:space="preserve"> </w:t>
      </w:r>
      <w:r w:rsidRPr="00DA382B">
        <w:rPr>
          <w:rFonts w:eastAsia="Calibri"/>
          <w:sz w:val="22"/>
          <w:szCs w:val="22"/>
        </w:rPr>
        <w:t xml:space="preserve">be conducted in accordance with the requirements and procedures specified in Appendix D, Common Testing Requirements, of this permit. </w:t>
      </w:r>
      <w:r>
        <w:rPr>
          <w:rFonts w:eastAsia="Calibri"/>
          <w:sz w:val="22"/>
          <w:szCs w:val="22"/>
        </w:rPr>
        <w:t xml:space="preserve"> </w:t>
      </w:r>
      <w:proofErr w:type="gramStart"/>
      <w:r w:rsidRPr="00DA382B">
        <w:rPr>
          <w:rFonts w:eastAsia="Calibri"/>
          <w:sz w:val="22"/>
          <w:szCs w:val="22"/>
        </w:rPr>
        <w:t>As long as</w:t>
      </w:r>
      <w:proofErr w:type="gramEnd"/>
      <w:r w:rsidRPr="00DA382B">
        <w:rPr>
          <w:rFonts w:eastAsia="Calibri"/>
          <w:sz w:val="22"/>
          <w:szCs w:val="22"/>
        </w:rPr>
        <w:t xml:space="preserve"> the certification is maintained and the manufacturer's recommendations are followed for maintenance, no stack testing is required.  [Rule 62-297.310, F.A.C.]</w:t>
      </w:r>
    </w:p>
    <w:p w:rsidR="00CC4E06" w:rsidRPr="00DA382B" w:rsidRDefault="004D3AD2" w:rsidP="004D3AD2">
      <w:pPr>
        <w:rPr>
          <w:rFonts w:eastAsia="Calibri"/>
          <w:sz w:val="22"/>
          <w:szCs w:val="22"/>
        </w:rPr>
      </w:pPr>
      <w:r>
        <w:rPr>
          <w:rFonts w:eastAsia="Calibri"/>
          <w:sz w:val="22"/>
          <w:szCs w:val="22"/>
        </w:rPr>
        <w:br w:type="page"/>
      </w:r>
    </w:p>
    <w:p w:rsidR="00CC4E06" w:rsidRPr="00351B4C" w:rsidRDefault="00CC4E06" w:rsidP="00CC4E06">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b/>
          <w:caps/>
          <w:sz w:val="22"/>
        </w:rPr>
      </w:pPr>
      <w:r w:rsidRPr="00351B4C">
        <w:rPr>
          <w:b/>
          <w:caps/>
          <w:sz w:val="22"/>
        </w:rPr>
        <w:lastRenderedPageBreak/>
        <w:t>Records and Reports</w:t>
      </w:r>
    </w:p>
    <w:p w:rsidR="00CC4E06" w:rsidRPr="000635AB" w:rsidRDefault="00CC4E06" w:rsidP="00CC4E06">
      <w:pPr>
        <w:numPr>
          <w:ilvl w:val="0"/>
          <w:numId w:val="33"/>
        </w:numPr>
        <w:tabs>
          <w:tab w:val="clear" w:pos="1080"/>
          <w:tab w:val="num" w:pos="720"/>
          <w:tab w:val="left" w:pos="1440"/>
          <w:tab w:val="left" w:pos="1800"/>
          <w:tab w:val="left" w:pos="2160"/>
        </w:tabs>
        <w:spacing w:before="120" w:after="120"/>
        <w:ind w:left="360"/>
        <w:rPr>
          <w:bCs/>
          <w:caps/>
          <w:sz w:val="22"/>
          <w:szCs w:val="22"/>
        </w:rPr>
      </w:pPr>
      <w:r w:rsidRPr="00351B4C">
        <w:rPr>
          <w:color w:val="000000"/>
          <w:sz w:val="22"/>
          <w:szCs w:val="22"/>
          <w:u w:val="single"/>
        </w:rPr>
        <w:t>Testing</w:t>
      </w:r>
      <w:r w:rsidRPr="000635AB">
        <w:rPr>
          <w:bCs/>
          <w:sz w:val="22"/>
          <w:szCs w:val="22"/>
          <w:u w:val="single"/>
        </w:rPr>
        <w:t xml:space="preserve"> </w:t>
      </w:r>
      <w:r w:rsidRPr="00CC4E06">
        <w:rPr>
          <w:sz w:val="22"/>
          <w:u w:val="single"/>
        </w:rPr>
        <w:t>Notification</w:t>
      </w:r>
      <w:r w:rsidRPr="000635AB">
        <w:rPr>
          <w:bCs/>
          <w:sz w:val="22"/>
          <w:szCs w:val="22"/>
        </w:rPr>
        <w:t xml:space="preserve">. </w:t>
      </w:r>
      <w:r w:rsidRPr="000635AB">
        <w:rPr>
          <w:bCs/>
          <w:caps/>
          <w:sz w:val="22"/>
          <w:szCs w:val="22"/>
        </w:rPr>
        <w:t xml:space="preserve"> A</w:t>
      </w:r>
      <w:r w:rsidRPr="000635AB">
        <w:rPr>
          <w:bCs/>
          <w:sz w:val="22"/>
          <w:szCs w:val="22"/>
        </w:rPr>
        <w:t xml:space="preserve">t such time that the requirements of </w:t>
      </w:r>
      <w:r w:rsidRPr="00F74DF7">
        <w:rPr>
          <w:b/>
          <w:color w:val="000000"/>
          <w:sz w:val="22"/>
          <w:szCs w:val="22"/>
        </w:rPr>
        <w:t xml:space="preserve">Specific Condition </w:t>
      </w:r>
      <w:r w:rsidR="0031462C">
        <w:rPr>
          <w:b/>
          <w:sz w:val="22"/>
        </w:rPr>
        <w:fldChar w:fldCharType="begin"/>
      </w:r>
      <w:r w:rsidR="0031462C">
        <w:rPr>
          <w:b/>
          <w:color w:val="000000"/>
          <w:sz w:val="22"/>
          <w:szCs w:val="22"/>
        </w:rPr>
        <w:instrText xml:space="preserve"> REF _Ref513534382 \r \h </w:instrText>
      </w:r>
      <w:r w:rsidR="0031462C">
        <w:rPr>
          <w:b/>
          <w:sz w:val="22"/>
        </w:rPr>
      </w:r>
      <w:r w:rsidR="0031462C">
        <w:rPr>
          <w:b/>
          <w:sz w:val="22"/>
        </w:rPr>
        <w:fldChar w:fldCharType="separate"/>
      </w:r>
      <w:r w:rsidR="0031462C">
        <w:rPr>
          <w:b/>
          <w:color w:val="000000"/>
          <w:sz w:val="22"/>
          <w:szCs w:val="22"/>
        </w:rPr>
        <w:t>11</w:t>
      </w:r>
      <w:r w:rsidR="0031462C">
        <w:rPr>
          <w:b/>
          <w:sz w:val="22"/>
        </w:rPr>
        <w:fldChar w:fldCharType="end"/>
      </w:r>
      <w:r w:rsidRPr="000635AB">
        <w:rPr>
          <w:b/>
          <w:bCs/>
          <w:caps/>
          <w:sz w:val="22"/>
          <w:szCs w:val="22"/>
        </w:rPr>
        <w:t xml:space="preserve">. </w:t>
      </w:r>
      <w:r w:rsidRPr="000635AB">
        <w:rPr>
          <w:bCs/>
          <w:sz w:val="22"/>
          <w:szCs w:val="22"/>
        </w:rPr>
        <w:t xml:space="preserve">become applicable, </w:t>
      </w:r>
      <w:r>
        <w:rPr>
          <w:bCs/>
          <w:sz w:val="22"/>
          <w:szCs w:val="22"/>
        </w:rPr>
        <w:t xml:space="preserve">if at all, </w:t>
      </w:r>
      <w:r w:rsidRPr="000635AB">
        <w:rPr>
          <w:bCs/>
          <w:sz w:val="22"/>
          <w:szCs w:val="22"/>
        </w:rPr>
        <w:t xml:space="preserve">the owner or operator shall notify the compliance authority of the date by which the compliance test must be performed.  </w:t>
      </w:r>
      <w:r w:rsidRPr="000635AB">
        <w:rPr>
          <w:color w:val="000000"/>
          <w:sz w:val="22"/>
          <w:szCs w:val="22"/>
        </w:rPr>
        <w:t>[Rule 62-213.440(1), F.A.C.]</w:t>
      </w:r>
    </w:p>
    <w:p w:rsidR="00CC4E06" w:rsidRPr="000635AB" w:rsidRDefault="00CC4E06" w:rsidP="00CC4E06">
      <w:pPr>
        <w:numPr>
          <w:ilvl w:val="0"/>
          <w:numId w:val="33"/>
        </w:numPr>
        <w:tabs>
          <w:tab w:val="clear" w:pos="1080"/>
          <w:tab w:val="num" w:pos="720"/>
          <w:tab w:val="left" w:pos="1440"/>
          <w:tab w:val="left" w:pos="1800"/>
          <w:tab w:val="left" w:pos="2160"/>
        </w:tabs>
        <w:spacing w:before="120" w:after="120"/>
        <w:ind w:left="360"/>
        <w:rPr>
          <w:color w:val="000000"/>
          <w:sz w:val="22"/>
          <w:szCs w:val="22"/>
        </w:rPr>
      </w:pPr>
      <w:r w:rsidRPr="000635AB">
        <w:rPr>
          <w:color w:val="000000"/>
          <w:sz w:val="22"/>
          <w:szCs w:val="22"/>
          <w:u w:val="single"/>
        </w:rPr>
        <w:t xml:space="preserve">Hours of </w:t>
      </w:r>
      <w:r w:rsidRPr="00CC4E06">
        <w:rPr>
          <w:sz w:val="22"/>
          <w:u w:val="single"/>
        </w:rPr>
        <w:t>Operation</w:t>
      </w:r>
      <w:r w:rsidRPr="000635AB">
        <w:rPr>
          <w:color w:val="000000"/>
          <w:sz w:val="22"/>
          <w:szCs w:val="22"/>
          <w:u w:val="single"/>
        </w:rPr>
        <w:t xml:space="preserve"> Records</w:t>
      </w:r>
      <w:r w:rsidRPr="000635AB">
        <w:rPr>
          <w:color w:val="000000"/>
          <w:sz w:val="22"/>
          <w:szCs w:val="22"/>
        </w:rPr>
        <w:t>.  The owner or operator must keep records of the operation of the engine in emergency and non-emergency service that are recorded through the non-resettable hour meter.  The owner or operator must record the time of operation of the engine and the reason the engine was in operation during that time.  [Rule 62-213.440(1), F.A.C. and 40 CFR 60.4214(b)]</w:t>
      </w:r>
    </w:p>
    <w:p w:rsidR="00CC4E06" w:rsidRPr="00CC4E06" w:rsidRDefault="00CC4E06" w:rsidP="0031462C">
      <w:pPr>
        <w:numPr>
          <w:ilvl w:val="0"/>
          <w:numId w:val="33"/>
        </w:numPr>
        <w:tabs>
          <w:tab w:val="clear" w:pos="1080"/>
          <w:tab w:val="num" w:pos="720"/>
          <w:tab w:val="left" w:pos="1440"/>
          <w:tab w:val="left" w:pos="1800"/>
          <w:tab w:val="left" w:pos="2160"/>
        </w:tabs>
        <w:spacing w:before="120" w:after="60"/>
        <w:ind w:left="360"/>
        <w:rPr>
          <w:bCs/>
          <w:caps/>
          <w:sz w:val="22"/>
          <w:szCs w:val="22"/>
        </w:rPr>
      </w:pPr>
      <w:r w:rsidRPr="00CC4E06">
        <w:rPr>
          <w:sz w:val="22"/>
          <w:u w:val="single"/>
        </w:rPr>
        <w:t>Maintenance</w:t>
      </w:r>
      <w:r w:rsidRPr="000635AB">
        <w:rPr>
          <w:color w:val="000000"/>
          <w:sz w:val="22"/>
          <w:szCs w:val="22"/>
          <w:u w:val="single"/>
        </w:rPr>
        <w:t xml:space="preserve"> Records</w:t>
      </w:r>
      <w:r w:rsidRPr="000635AB">
        <w:rPr>
          <w:bCs/>
          <w:caps/>
          <w:sz w:val="22"/>
          <w:szCs w:val="22"/>
        </w:rPr>
        <w:t xml:space="preserve">. </w:t>
      </w:r>
      <w:r w:rsidRPr="000635AB">
        <w:rPr>
          <w:bCs/>
          <w:sz w:val="22"/>
          <w:szCs w:val="22"/>
        </w:rPr>
        <w:t xml:space="preserve"> To demonstrate conformance with the manufacturer’s written instructions for maintaining the certified engine </w:t>
      </w:r>
      <w:r w:rsidRPr="000635AB">
        <w:rPr>
          <w:color w:val="000000"/>
          <w:sz w:val="22"/>
          <w:szCs w:val="22"/>
        </w:rPr>
        <w:t xml:space="preserve">and to document when compliance testing must be performed pursuant to </w:t>
      </w:r>
      <w:r w:rsidRPr="00F74DF7">
        <w:rPr>
          <w:b/>
          <w:color w:val="000000"/>
          <w:sz w:val="22"/>
          <w:szCs w:val="22"/>
        </w:rPr>
        <w:t>Specific Condition</w:t>
      </w:r>
      <w:r>
        <w:rPr>
          <w:b/>
          <w:color w:val="000000"/>
          <w:sz w:val="22"/>
          <w:szCs w:val="22"/>
        </w:rPr>
        <w:t>s</w:t>
      </w:r>
      <w:r w:rsidRPr="00F74DF7">
        <w:rPr>
          <w:b/>
          <w:color w:val="000000"/>
          <w:sz w:val="22"/>
          <w:szCs w:val="22"/>
        </w:rPr>
        <w:t xml:space="preserve"> </w:t>
      </w:r>
      <w:r w:rsidR="00087417">
        <w:rPr>
          <w:b/>
          <w:sz w:val="22"/>
        </w:rPr>
        <w:fldChar w:fldCharType="begin"/>
      </w:r>
      <w:r w:rsidR="00087417">
        <w:rPr>
          <w:b/>
          <w:color w:val="000000"/>
          <w:sz w:val="22"/>
          <w:szCs w:val="22"/>
        </w:rPr>
        <w:instrText xml:space="preserve"> REF _Ref513475561 \r \h </w:instrText>
      </w:r>
      <w:r w:rsidR="00087417">
        <w:rPr>
          <w:b/>
          <w:sz w:val="22"/>
        </w:rPr>
      </w:r>
      <w:r w:rsidR="00087417">
        <w:rPr>
          <w:b/>
          <w:sz w:val="22"/>
        </w:rPr>
        <w:fldChar w:fldCharType="separate"/>
      </w:r>
      <w:r w:rsidR="00087417">
        <w:rPr>
          <w:b/>
          <w:color w:val="000000"/>
          <w:sz w:val="22"/>
          <w:szCs w:val="22"/>
        </w:rPr>
        <w:t>10</w:t>
      </w:r>
      <w:r w:rsidR="00087417">
        <w:rPr>
          <w:b/>
          <w:sz w:val="22"/>
        </w:rPr>
        <w:fldChar w:fldCharType="end"/>
      </w:r>
      <w:r w:rsidRPr="000635AB">
        <w:rPr>
          <w:color w:val="000000"/>
          <w:sz w:val="22"/>
          <w:szCs w:val="22"/>
        </w:rPr>
        <w:t xml:space="preserve"> &amp; </w:t>
      </w:r>
      <w:r w:rsidR="0031462C">
        <w:rPr>
          <w:b/>
          <w:sz w:val="22"/>
        </w:rPr>
        <w:fldChar w:fldCharType="begin"/>
      </w:r>
      <w:r w:rsidR="0031462C">
        <w:rPr>
          <w:b/>
          <w:color w:val="000000"/>
          <w:sz w:val="22"/>
          <w:szCs w:val="22"/>
        </w:rPr>
        <w:instrText xml:space="preserve"> REF _Ref513534382 \r \h </w:instrText>
      </w:r>
      <w:r w:rsidR="0031462C">
        <w:rPr>
          <w:b/>
          <w:sz w:val="22"/>
        </w:rPr>
      </w:r>
      <w:r w:rsidR="0031462C">
        <w:rPr>
          <w:b/>
          <w:sz w:val="22"/>
        </w:rPr>
        <w:fldChar w:fldCharType="separate"/>
      </w:r>
      <w:r w:rsidR="0031462C">
        <w:rPr>
          <w:b/>
          <w:color w:val="000000"/>
          <w:sz w:val="22"/>
          <w:szCs w:val="22"/>
        </w:rPr>
        <w:t>11</w:t>
      </w:r>
      <w:r w:rsidR="0031462C">
        <w:rPr>
          <w:b/>
          <w:sz w:val="22"/>
        </w:rPr>
        <w:fldChar w:fldCharType="end"/>
      </w:r>
      <w:r w:rsidRPr="000635AB">
        <w:rPr>
          <w:color w:val="000000"/>
          <w:sz w:val="22"/>
          <w:szCs w:val="22"/>
        </w:rPr>
        <w:t>, the owner or operator must keep the following records:</w:t>
      </w:r>
    </w:p>
    <w:p w:rsidR="00CC4E06" w:rsidRPr="000635AB" w:rsidRDefault="00CC4E06" w:rsidP="00CC4E06">
      <w:pPr>
        <w:tabs>
          <w:tab w:val="left" w:pos="720"/>
        </w:tabs>
        <w:ind w:left="360"/>
        <w:rPr>
          <w:color w:val="000000"/>
          <w:sz w:val="22"/>
          <w:szCs w:val="22"/>
        </w:rPr>
      </w:pPr>
      <w:r w:rsidRPr="000635AB">
        <w:rPr>
          <w:color w:val="000000"/>
          <w:sz w:val="22"/>
          <w:szCs w:val="22"/>
        </w:rPr>
        <w:t>a.</w:t>
      </w:r>
      <w:r w:rsidRPr="000635AB">
        <w:rPr>
          <w:color w:val="000000"/>
          <w:sz w:val="22"/>
          <w:szCs w:val="22"/>
        </w:rPr>
        <w:tab/>
        <w:t>Engine manufacturer data indicating compliance with the standards.</w:t>
      </w:r>
    </w:p>
    <w:p w:rsidR="00CC4E06" w:rsidRPr="000635AB" w:rsidRDefault="00CC4E06" w:rsidP="00CC4E06">
      <w:pPr>
        <w:tabs>
          <w:tab w:val="left" w:pos="720"/>
        </w:tabs>
        <w:ind w:left="360"/>
        <w:rPr>
          <w:color w:val="000000"/>
          <w:sz w:val="22"/>
          <w:szCs w:val="22"/>
        </w:rPr>
      </w:pPr>
      <w:r w:rsidRPr="000635AB">
        <w:rPr>
          <w:color w:val="000000"/>
          <w:sz w:val="22"/>
          <w:szCs w:val="22"/>
        </w:rPr>
        <w:t>b.</w:t>
      </w:r>
      <w:r w:rsidRPr="000635AB">
        <w:rPr>
          <w:color w:val="000000"/>
          <w:sz w:val="22"/>
          <w:szCs w:val="22"/>
        </w:rPr>
        <w:tab/>
        <w:t>A copy of the manufacturer’s written instructions for operation and maintenance of the certified engine.</w:t>
      </w:r>
    </w:p>
    <w:p w:rsidR="00CC4E06" w:rsidRPr="000635AB" w:rsidRDefault="00CC4E06" w:rsidP="00CC4E06">
      <w:pPr>
        <w:tabs>
          <w:tab w:val="left" w:pos="720"/>
        </w:tabs>
        <w:ind w:left="720" w:hanging="360"/>
        <w:rPr>
          <w:color w:val="000000"/>
          <w:sz w:val="22"/>
          <w:szCs w:val="22"/>
        </w:rPr>
      </w:pPr>
      <w:r w:rsidRPr="000635AB">
        <w:rPr>
          <w:color w:val="000000"/>
          <w:sz w:val="22"/>
          <w:szCs w:val="22"/>
        </w:rPr>
        <w:t>c.</w:t>
      </w:r>
      <w:r w:rsidRPr="000635AB">
        <w:rPr>
          <w:color w:val="000000"/>
          <w:sz w:val="22"/>
          <w:szCs w:val="22"/>
        </w:rPr>
        <w:tab/>
        <w:t>A written maintenance log detailing the date and type of maintenance performed on the engine, as well as any deviations from the manufacturer’s written instructions.</w:t>
      </w:r>
    </w:p>
    <w:p w:rsidR="00CC4E06" w:rsidRPr="000635AB" w:rsidRDefault="00CC4E06" w:rsidP="00CC4E06">
      <w:pPr>
        <w:tabs>
          <w:tab w:val="left" w:pos="720"/>
        </w:tabs>
        <w:spacing w:after="120"/>
        <w:ind w:left="360"/>
        <w:rPr>
          <w:color w:val="000000"/>
          <w:sz w:val="22"/>
          <w:szCs w:val="22"/>
        </w:rPr>
      </w:pPr>
      <w:r w:rsidRPr="000635AB">
        <w:rPr>
          <w:color w:val="000000"/>
          <w:sz w:val="22"/>
          <w:szCs w:val="22"/>
        </w:rPr>
        <w:t xml:space="preserve">[Rule 62-213.440(1), F.A.C.; and, </w:t>
      </w:r>
      <w:r w:rsidRPr="000635AB">
        <w:rPr>
          <w:rFonts w:eastAsia="Calibri"/>
          <w:bCs/>
          <w:caps/>
          <w:sz w:val="22"/>
          <w:szCs w:val="22"/>
        </w:rPr>
        <w:t>40 CFR 60.4211(</w:t>
      </w:r>
      <w:r w:rsidRPr="000635AB">
        <w:rPr>
          <w:rFonts w:eastAsia="Calibri"/>
          <w:bCs/>
          <w:sz w:val="22"/>
          <w:szCs w:val="22"/>
        </w:rPr>
        <w:t>c</w:t>
      </w:r>
      <w:r w:rsidRPr="000635AB">
        <w:rPr>
          <w:rFonts w:eastAsia="Calibri"/>
          <w:bCs/>
          <w:caps/>
          <w:sz w:val="22"/>
          <w:szCs w:val="22"/>
        </w:rPr>
        <w:t xml:space="preserve">) &amp; </w:t>
      </w:r>
      <w:r w:rsidRPr="000635AB">
        <w:rPr>
          <w:rFonts w:eastAsia="Calibri"/>
          <w:bCs/>
          <w:sz w:val="22"/>
          <w:szCs w:val="22"/>
        </w:rPr>
        <w:t>(g)</w:t>
      </w:r>
      <w:r w:rsidRPr="000635AB">
        <w:rPr>
          <w:color w:val="000000"/>
          <w:sz w:val="22"/>
          <w:szCs w:val="22"/>
        </w:rPr>
        <w:t>]</w:t>
      </w:r>
    </w:p>
    <w:p w:rsidR="00CC4E06" w:rsidRDefault="00CC4E06" w:rsidP="00CC4E06">
      <w:pPr>
        <w:numPr>
          <w:ilvl w:val="0"/>
          <w:numId w:val="33"/>
        </w:numPr>
        <w:tabs>
          <w:tab w:val="clear" w:pos="1080"/>
          <w:tab w:val="num" w:pos="720"/>
          <w:tab w:val="left" w:pos="1440"/>
          <w:tab w:val="left" w:pos="1800"/>
          <w:tab w:val="left" w:pos="2160"/>
        </w:tabs>
        <w:spacing w:before="120" w:after="120"/>
        <w:ind w:left="360"/>
        <w:rPr>
          <w:sz w:val="22"/>
          <w:szCs w:val="22"/>
        </w:rPr>
      </w:pPr>
      <w:r w:rsidRPr="000635AB">
        <w:rPr>
          <w:sz w:val="22"/>
          <w:szCs w:val="22"/>
          <w:u w:val="single"/>
        </w:rPr>
        <w:t xml:space="preserve">Other </w:t>
      </w:r>
      <w:r w:rsidRPr="00CC4E06">
        <w:rPr>
          <w:sz w:val="22"/>
          <w:u w:val="single"/>
        </w:rPr>
        <w:t>Reporting</w:t>
      </w:r>
      <w:r w:rsidRPr="000635AB">
        <w:rPr>
          <w:sz w:val="22"/>
          <w:szCs w:val="22"/>
          <w:u w:val="single"/>
        </w:rPr>
        <w:t xml:space="preserve"> Requirements</w:t>
      </w:r>
      <w:r w:rsidRPr="000635AB">
        <w:rPr>
          <w:sz w:val="22"/>
          <w:szCs w:val="22"/>
        </w:rPr>
        <w:t xml:space="preserve">.  See </w:t>
      </w:r>
      <w:r w:rsidRPr="000635AB">
        <w:rPr>
          <w:bCs/>
          <w:sz w:val="22"/>
          <w:szCs w:val="22"/>
        </w:rPr>
        <w:t xml:space="preserve">Appendix </w:t>
      </w:r>
      <w:r>
        <w:rPr>
          <w:bCs/>
          <w:sz w:val="22"/>
          <w:szCs w:val="22"/>
        </w:rPr>
        <w:t>C</w:t>
      </w:r>
      <w:r w:rsidRPr="000635AB">
        <w:rPr>
          <w:bCs/>
          <w:sz w:val="22"/>
          <w:szCs w:val="22"/>
        </w:rPr>
        <w:t xml:space="preserve">, </w:t>
      </w:r>
      <w:r>
        <w:rPr>
          <w:bCs/>
          <w:sz w:val="22"/>
          <w:szCs w:val="22"/>
        </w:rPr>
        <w:t>Common Conditions</w:t>
      </w:r>
      <w:r w:rsidRPr="000635AB">
        <w:rPr>
          <w:sz w:val="22"/>
          <w:szCs w:val="22"/>
        </w:rPr>
        <w:t>, for additional reporting requirements.  [Rule 62-213.440(1)(b), F.A.C.]</w:t>
      </w:r>
    </w:p>
    <w:p w:rsidR="009D108C" w:rsidRPr="009D108C" w:rsidRDefault="004D3AD2" w:rsidP="009D108C">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b/>
          <w:bCs/>
          <w:caps/>
          <w:sz w:val="22"/>
        </w:rPr>
      </w:pPr>
      <w:r w:rsidRPr="004D3AD2">
        <w:rPr>
          <w:b/>
          <w:bCs/>
          <w:caps/>
          <w:sz w:val="22"/>
        </w:rPr>
        <w:t>General Provisions</w:t>
      </w:r>
    </w:p>
    <w:p w:rsidR="004D3AD2" w:rsidRPr="004D3AD2" w:rsidRDefault="004D3AD2" w:rsidP="004D3AD2">
      <w:pPr>
        <w:numPr>
          <w:ilvl w:val="0"/>
          <w:numId w:val="33"/>
        </w:numPr>
        <w:tabs>
          <w:tab w:val="clear" w:pos="1080"/>
          <w:tab w:val="num" w:pos="720"/>
          <w:tab w:val="left" w:pos="1440"/>
          <w:tab w:val="left" w:pos="1800"/>
          <w:tab w:val="left" w:pos="2160"/>
        </w:tabs>
        <w:spacing w:before="120" w:after="120"/>
        <w:ind w:left="360"/>
        <w:rPr>
          <w:color w:val="000000"/>
          <w:sz w:val="22"/>
          <w:szCs w:val="22"/>
        </w:rPr>
      </w:pPr>
      <w:r w:rsidRPr="004D3AD2">
        <w:rPr>
          <w:sz w:val="22"/>
          <w:szCs w:val="22"/>
          <w:u w:val="single"/>
        </w:rPr>
        <w:t>40 CFR 60, Subpart A - General Provisions</w:t>
      </w:r>
      <w:r w:rsidRPr="004D3AD2">
        <w:rPr>
          <w:sz w:val="22"/>
          <w:szCs w:val="22"/>
        </w:rPr>
        <w:t xml:space="preserve">.  The owner or operator shall comply with the applicable requirements of 40 CFR 60 Subpart A, General Provisions, as specified below.  </w:t>
      </w:r>
      <w:hyperlink r:id="rId45" w:history="1">
        <w:r w:rsidRPr="004D3AD2">
          <w:rPr>
            <w:rStyle w:val="Hyperlink"/>
            <w:sz w:val="22"/>
            <w:szCs w:val="22"/>
          </w:rPr>
          <w:t>Link to 40 CFR 60, Subpart A - General Provisions</w:t>
        </w:r>
      </w:hyperlink>
      <w:r w:rsidRPr="004D3AD2">
        <w:rPr>
          <w:sz w:val="22"/>
          <w:szCs w:val="22"/>
        </w:rPr>
        <w:t xml:space="preserve">. </w:t>
      </w:r>
      <w:r w:rsidRPr="004D3AD2">
        <w:rPr>
          <w:color w:val="000000"/>
          <w:sz w:val="22"/>
          <w:szCs w:val="22"/>
        </w:rPr>
        <w:t xml:space="preserve">  </w:t>
      </w:r>
    </w:p>
    <w:tbl>
      <w:tblPr>
        <w:tblW w:w="0" w:type="auto"/>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287"/>
        <w:gridCol w:w="6295"/>
      </w:tblGrid>
      <w:tr w:rsidR="004D3AD2" w:rsidTr="004D3AD2">
        <w:trPr>
          <w:tblHeader/>
        </w:trPr>
        <w:tc>
          <w:tcPr>
            <w:tcW w:w="3330" w:type="dxa"/>
            <w:tcBorders>
              <w:top w:val="single" w:sz="12" w:space="0" w:color="auto"/>
              <w:left w:val="single" w:sz="12" w:space="0" w:color="auto"/>
              <w:bottom w:val="single" w:sz="12" w:space="0" w:color="auto"/>
              <w:right w:val="single" w:sz="6" w:space="0" w:color="auto"/>
            </w:tcBorders>
            <w:shd w:val="clear" w:color="auto" w:fill="B8CCE4"/>
            <w:vAlign w:val="center"/>
            <w:hideMark/>
          </w:tcPr>
          <w:p w:rsidR="004D3AD2" w:rsidRDefault="004D3AD2">
            <w:pPr>
              <w:tabs>
                <w:tab w:val="left" w:pos="360"/>
                <w:tab w:val="left" w:pos="720"/>
                <w:tab w:val="left" w:pos="1080"/>
                <w:tab w:val="left" w:pos="1440"/>
              </w:tabs>
              <w:autoSpaceDE w:val="0"/>
              <w:autoSpaceDN w:val="0"/>
              <w:adjustRightInd w:val="0"/>
              <w:jc w:val="center"/>
              <w:rPr>
                <w:b/>
                <w:szCs w:val="22"/>
              </w:rPr>
            </w:pPr>
            <w:r>
              <w:rPr>
                <w:b/>
                <w:szCs w:val="22"/>
              </w:rPr>
              <w:t>General Provisions Citation</w:t>
            </w:r>
          </w:p>
        </w:tc>
        <w:tc>
          <w:tcPr>
            <w:tcW w:w="6390" w:type="dxa"/>
            <w:tcBorders>
              <w:top w:val="single" w:sz="12" w:space="0" w:color="auto"/>
              <w:left w:val="single" w:sz="6" w:space="0" w:color="auto"/>
              <w:bottom w:val="single" w:sz="12" w:space="0" w:color="auto"/>
              <w:right w:val="single" w:sz="12" w:space="0" w:color="auto"/>
            </w:tcBorders>
            <w:shd w:val="clear" w:color="auto" w:fill="B8CCE4"/>
            <w:vAlign w:val="center"/>
            <w:hideMark/>
          </w:tcPr>
          <w:p w:rsidR="004D3AD2" w:rsidRDefault="004D3AD2">
            <w:pPr>
              <w:tabs>
                <w:tab w:val="left" w:pos="360"/>
                <w:tab w:val="left" w:pos="720"/>
                <w:tab w:val="left" w:pos="1080"/>
                <w:tab w:val="left" w:pos="1440"/>
              </w:tabs>
              <w:autoSpaceDE w:val="0"/>
              <w:autoSpaceDN w:val="0"/>
              <w:adjustRightInd w:val="0"/>
              <w:rPr>
                <w:b/>
                <w:szCs w:val="22"/>
              </w:rPr>
            </w:pPr>
            <w:r>
              <w:rPr>
                <w:b/>
                <w:szCs w:val="22"/>
              </w:rPr>
              <w:t>Subject of Citation</w:t>
            </w:r>
          </w:p>
        </w:tc>
      </w:tr>
      <w:tr w:rsidR="004D3AD2" w:rsidTr="004D3AD2">
        <w:tc>
          <w:tcPr>
            <w:tcW w:w="3330" w:type="dxa"/>
            <w:tcBorders>
              <w:top w:val="single" w:sz="12" w:space="0" w:color="auto"/>
              <w:left w:val="single" w:sz="12" w:space="0" w:color="auto"/>
              <w:bottom w:val="single" w:sz="6" w:space="0" w:color="auto"/>
              <w:right w:val="single" w:sz="6" w:space="0" w:color="auto"/>
            </w:tcBorders>
            <w:hideMark/>
          </w:tcPr>
          <w:p w:rsidR="004D3AD2" w:rsidRDefault="004D3AD2">
            <w:pPr>
              <w:tabs>
                <w:tab w:val="left" w:pos="360"/>
                <w:tab w:val="left" w:pos="720"/>
                <w:tab w:val="left" w:pos="1080"/>
                <w:tab w:val="left" w:pos="1440"/>
              </w:tabs>
              <w:jc w:val="center"/>
              <w:rPr>
                <w:szCs w:val="22"/>
              </w:rPr>
            </w:pPr>
            <w:r>
              <w:rPr>
                <w:szCs w:val="22"/>
              </w:rPr>
              <w:t>§ 60.1</w:t>
            </w:r>
          </w:p>
        </w:tc>
        <w:tc>
          <w:tcPr>
            <w:tcW w:w="6390" w:type="dxa"/>
            <w:tcBorders>
              <w:top w:val="single" w:sz="12" w:space="0" w:color="auto"/>
              <w:left w:val="single" w:sz="6" w:space="0" w:color="auto"/>
              <w:bottom w:val="single" w:sz="6" w:space="0" w:color="auto"/>
              <w:right w:val="single" w:sz="12" w:space="0" w:color="auto"/>
            </w:tcBorders>
            <w:hideMark/>
          </w:tcPr>
          <w:p w:rsidR="004D3AD2" w:rsidRDefault="004D3AD2">
            <w:pPr>
              <w:tabs>
                <w:tab w:val="left" w:pos="360"/>
                <w:tab w:val="left" w:pos="720"/>
                <w:tab w:val="left" w:pos="1080"/>
                <w:tab w:val="left" w:pos="1440"/>
              </w:tabs>
              <w:autoSpaceDE w:val="0"/>
              <w:autoSpaceDN w:val="0"/>
              <w:adjustRightInd w:val="0"/>
              <w:rPr>
                <w:szCs w:val="22"/>
              </w:rPr>
            </w:pPr>
            <w:r>
              <w:rPr>
                <w:szCs w:val="22"/>
              </w:rPr>
              <w:t>General applicability of the General Provisions</w:t>
            </w:r>
          </w:p>
        </w:tc>
      </w:tr>
      <w:tr w:rsidR="004D3AD2" w:rsidTr="004D3AD2">
        <w:tc>
          <w:tcPr>
            <w:tcW w:w="3330" w:type="dxa"/>
            <w:tcBorders>
              <w:top w:val="single" w:sz="6" w:space="0" w:color="auto"/>
              <w:left w:val="single" w:sz="12" w:space="0" w:color="auto"/>
              <w:bottom w:val="single" w:sz="6" w:space="0" w:color="auto"/>
              <w:right w:val="single" w:sz="6" w:space="0" w:color="auto"/>
            </w:tcBorders>
            <w:hideMark/>
          </w:tcPr>
          <w:p w:rsidR="004D3AD2" w:rsidRDefault="004D3AD2">
            <w:pPr>
              <w:tabs>
                <w:tab w:val="left" w:pos="360"/>
                <w:tab w:val="left" w:pos="720"/>
                <w:tab w:val="left" w:pos="1080"/>
                <w:tab w:val="left" w:pos="1440"/>
              </w:tabs>
              <w:jc w:val="center"/>
              <w:rPr>
                <w:szCs w:val="22"/>
              </w:rPr>
            </w:pPr>
            <w:r>
              <w:rPr>
                <w:szCs w:val="22"/>
              </w:rPr>
              <w:t>§ 60.2</w:t>
            </w:r>
          </w:p>
        </w:tc>
        <w:tc>
          <w:tcPr>
            <w:tcW w:w="6390" w:type="dxa"/>
            <w:tcBorders>
              <w:top w:val="single" w:sz="6" w:space="0" w:color="auto"/>
              <w:left w:val="single" w:sz="6" w:space="0" w:color="auto"/>
              <w:bottom w:val="single" w:sz="6" w:space="0" w:color="auto"/>
              <w:right w:val="single" w:sz="12" w:space="0" w:color="auto"/>
            </w:tcBorders>
            <w:hideMark/>
          </w:tcPr>
          <w:p w:rsidR="004D3AD2" w:rsidRDefault="004D3AD2">
            <w:pPr>
              <w:tabs>
                <w:tab w:val="left" w:pos="360"/>
                <w:tab w:val="left" w:pos="720"/>
                <w:tab w:val="left" w:pos="1080"/>
                <w:tab w:val="left" w:pos="1440"/>
              </w:tabs>
              <w:autoSpaceDE w:val="0"/>
              <w:autoSpaceDN w:val="0"/>
              <w:adjustRightInd w:val="0"/>
              <w:rPr>
                <w:szCs w:val="22"/>
              </w:rPr>
            </w:pPr>
            <w:r>
              <w:rPr>
                <w:szCs w:val="22"/>
              </w:rPr>
              <w:t>Definitions (see also § 60.4219)</w:t>
            </w:r>
          </w:p>
        </w:tc>
      </w:tr>
      <w:tr w:rsidR="004D3AD2" w:rsidTr="004D3AD2">
        <w:tc>
          <w:tcPr>
            <w:tcW w:w="3330" w:type="dxa"/>
            <w:tcBorders>
              <w:top w:val="single" w:sz="6" w:space="0" w:color="auto"/>
              <w:left w:val="single" w:sz="12" w:space="0" w:color="auto"/>
              <w:bottom w:val="single" w:sz="6" w:space="0" w:color="auto"/>
              <w:right w:val="single" w:sz="6" w:space="0" w:color="auto"/>
            </w:tcBorders>
            <w:hideMark/>
          </w:tcPr>
          <w:p w:rsidR="004D3AD2" w:rsidRDefault="004D3AD2">
            <w:pPr>
              <w:tabs>
                <w:tab w:val="left" w:pos="360"/>
                <w:tab w:val="left" w:pos="720"/>
                <w:tab w:val="left" w:pos="1080"/>
                <w:tab w:val="left" w:pos="1440"/>
              </w:tabs>
              <w:jc w:val="center"/>
              <w:rPr>
                <w:szCs w:val="22"/>
              </w:rPr>
            </w:pPr>
            <w:r>
              <w:rPr>
                <w:szCs w:val="22"/>
              </w:rPr>
              <w:t>§ 60.3</w:t>
            </w:r>
          </w:p>
        </w:tc>
        <w:tc>
          <w:tcPr>
            <w:tcW w:w="6390" w:type="dxa"/>
            <w:tcBorders>
              <w:top w:val="single" w:sz="6" w:space="0" w:color="auto"/>
              <w:left w:val="single" w:sz="6" w:space="0" w:color="auto"/>
              <w:bottom w:val="single" w:sz="6" w:space="0" w:color="auto"/>
              <w:right w:val="single" w:sz="12" w:space="0" w:color="auto"/>
            </w:tcBorders>
            <w:shd w:val="clear" w:color="auto" w:fill="FFFFFF"/>
            <w:hideMark/>
          </w:tcPr>
          <w:p w:rsidR="004D3AD2" w:rsidRDefault="004D3AD2">
            <w:pPr>
              <w:tabs>
                <w:tab w:val="left" w:pos="360"/>
                <w:tab w:val="left" w:pos="720"/>
                <w:tab w:val="left" w:pos="1080"/>
                <w:tab w:val="left" w:pos="1440"/>
              </w:tabs>
              <w:autoSpaceDE w:val="0"/>
              <w:autoSpaceDN w:val="0"/>
              <w:adjustRightInd w:val="0"/>
              <w:rPr>
                <w:szCs w:val="22"/>
              </w:rPr>
            </w:pPr>
            <w:r>
              <w:rPr>
                <w:szCs w:val="22"/>
              </w:rPr>
              <w:t>Units and abbreviations</w:t>
            </w:r>
          </w:p>
        </w:tc>
      </w:tr>
      <w:tr w:rsidR="004D3AD2" w:rsidTr="004D3AD2">
        <w:tc>
          <w:tcPr>
            <w:tcW w:w="3330" w:type="dxa"/>
            <w:tcBorders>
              <w:top w:val="single" w:sz="6" w:space="0" w:color="auto"/>
              <w:left w:val="single" w:sz="12" w:space="0" w:color="auto"/>
              <w:bottom w:val="single" w:sz="6" w:space="0" w:color="auto"/>
              <w:right w:val="single" w:sz="6" w:space="0" w:color="auto"/>
            </w:tcBorders>
            <w:hideMark/>
          </w:tcPr>
          <w:p w:rsidR="004D3AD2" w:rsidRDefault="004D3AD2">
            <w:pPr>
              <w:tabs>
                <w:tab w:val="left" w:pos="360"/>
                <w:tab w:val="left" w:pos="720"/>
                <w:tab w:val="left" w:pos="1080"/>
                <w:tab w:val="left" w:pos="1440"/>
              </w:tabs>
              <w:jc w:val="center"/>
              <w:rPr>
                <w:szCs w:val="22"/>
              </w:rPr>
            </w:pPr>
            <w:r>
              <w:rPr>
                <w:szCs w:val="22"/>
              </w:rPr>
              <w:t>§ 60.4</w:t>
            </w:r>
          </w:p>
        </w:tc>
        <w:tc>
          <w:tcPr>
            <w:tcW w:w="6390" w:type="dxa"/>
            <w:tcBorders>
              <w:top w:val="single" w:sz="6" w:space="0" w:color="auto"/>
              <w:left w:val="single" w:sz="6" w:space="0" w:color="auto"/>
              <w:bottom w:val="single" w:sz="6" w:space="0" w:color="auto"/>
              <w:right w:val="single" w:sz="12" w:space="0" w:color="auto"/>
            </w:tcBorders>
            <w:hideMark/>
          </w:tcPr>
          <w:p w:rsidR="004D3AD2" w:rsidRDefault="004D3AD2">
            <w:pPr>
              <w:tabs>
                <w:tab w:val="left" w:pos="360"/>
                <w:tab w:val="left" w:pos="720"/>
                <w:tab w:val="left" w:pos="1080"/>
                <w:tab w:val="left" w:pos="1440"/>
              </w:tabs>
              <w:autoSpaceDE w:val="0"/>
              <w:autoSpaceDN w:val="0"/>
              <w:adjustRightInd w:val="0"/>
              <w:rPr>
                <w:szCs w:val="22"/>
              </w:rPr>
            </w:pPr>
            <w:r>
              <w:rPr>
                <w:szCs w:val="22"/>
              </w:rPr>
              <w:t>Address</w:t>
            </w:r>
          </w:p>
        </w:tc>
      </w:tr>
      <w:tr w:rsidR="004D3AD2" w:rsidTr="004D3AD2">
        <w:tc>
          <w:tcPr>
            <w:tcW w:w="3330" w:type="dxa"/>
            <w:tcBorders>
              <w:top w:val="single" w:sz="6" w:space="0" w:color="auto"/>
              <w:left w:val="single" w:sz="12" w:space="0" w:color="auto"/>
              <w:bottom w:val="single" w:sz="6" w:space="0" w:color="auto"/>
              <w:right w:val="single" w:sz="6" w:space="0" w:color="auto"/>
            </w:tcBorders>
            <w:hideMark/>
          </w:tcPr>
          <w:p w:rsidR="004D3AD2" w:rsidRDefault="004D3AD2">
            <w:pPr>
              <w:tabs>
                <w:tab w:val="left" w:pos="360"/>
                <w:tab w:val="left" w:pos="720"/>
                <w:tab w:val="left" w:pos="1080"/>
                <w:tab w:val="left" w:pos="1440"/>
              </w:tabs>
              <w:jc w:val="center"/>
              <w:rPr>
                <w:szCs w:val="22"/>
              </w:rPr>
            </w:pPr>
            <w:r>
              <w:rPr>
                <w:szCs w:val="22"/>
              </w:rPr>
              <w:t>§ 60.5</w:t>
            </w:r>
          </w:p>
        </w:tc>
        <w:tc>
          <w:tcPr>
            <w:tcW w:w="6390" w:type="dxa"/>
            <w:tcBorders>
              <w:top w:val="single" w:sz="6" w:space="0" w:color="auto"/>
              <w:left w:val="single" w:sz="6" w:space="0" w:color="auto"/>
              <w:bottom w:val="single" w:sz="6" w:space="0" w:color="auto"/>
              <w:right w:val="single" w:sz="12" w:space="0" w:color="auto"/>
            </w:tcBorders>
            <w:hideMark/>
          </w:tcPr>
          <w:p w:rsidR="004D3AD2" w:rsidRDefault="004D3AD2">
            <w:pPr>
              <w:tabs>
                <w:tab w:val="left" w:pos="360"/>
                <w:tab w:val="left" w:pos="720"/>
                <w:tab w:val="left" w:pos="1080"/>
                <w:tab w:val="left" w:pos="1440"/>
              </w:tabs>
              <w:autoSpaceDE w:val="0"/>
              <w:autoSpaceDN w:val="0"/>
              <w:adjustRightInd w:val="0"/>
              <w:rPr>
                <w:szCs w:val="22"/>
              </w:rPr>
            </w:pPr>
            <w:r>
              <w:rPr>
                <w:szCs w:val="22"/>
              </w:rPr>
              <w:t>Determination of construction or modification</w:t>
            </w:r>
          </w:p>
        </w:tc>
      </w:tr>
      <w:tr w:rsidR="004D3AD2" w:rsidTr="004D3AD2">
        <w:tc>
          <w:tcPr>
            <w:tcW w:w="3330" w:type="dxa"/>
            <w:tcBorders>
              <w:top w:val="single" w:sz="6" w:space="0" w:color="auto"/>
              <w:left w:val="single" w:sz="12" w:space="0" w:color="auto"/>
              <w:bottom w:val="single" w:sz="6" w:space="0" w:color="auto"/>
              <w:right w:val="single" w:sz="6" w:space="0" w:color="auto"/>
            </w:tcBorders>
            <w:hideMark/>
          </w:tcPr>
          <w:p w:rsidR="004D3AD2" w:rsidRDefault="004D3AD2">
            <w:pPr>
              <w:tabs>
                <w:tab w:val="left" w:pos="360"/>
                <w:tab w:val="left" w:pos="720"/>
                <w:tab w:val="left" w:pos="1080"/>
                <w:tab w:val="left" w:pos="1440"/>
              </w:tabs>
              <w:jc w:val="center"/>
              <w:rPr>
                <w:szCs w:val="22"/>
              </w:rPr>
            </w:pPr>
            <w:r>
              <w:rPr>
                <w:szCs w:val="22"/>
              </w:rPr>
              <w:t>§ 60.6</w:t>
            </w:r>
          </w:p>
        </w:tc>
        <w:tc>
          <w:tcPr>
            <w:tcW w:w="6390" w:type="dxa"/>
            <w:tcBorders>
              <w:top w:val="single" w:sz="6" w:space="0" w:color="auto"/>
              <w:left w:val="single" w:sz="6" w:space="0" w:color="auto"/>
              <w:bottom w:val="single" w:sz="6" w:space="0" w:color="auto"/>
              <w:right w:val="single" w:sz="12" w:space="0" w:color="auto"/>
            </w:tcBorders>
            <w:hideMark/>
          </w:tcPr>
          <w:p w:rsidR="004D3AD2" w:rsidRDefault="004D3AD2">
            <w:pPr>
              <w:tabs>
                <w:tab w:val="left" w:pos="360"/>
                <w:tab w:val="left" w:pos="720"/>
                <w:tab w:val="left" w:pos="1080"/>
                <w:tab w:val="left" w:pos="1440"/>
              </w:tabs>
              <w:autoSpaceDE w:val="0"/>
              <w:autoSpaceDN w:val="0"/>
              <w:adjustRightInd w:val="0"/>
              <w:rPr>
                <w:szCs w:val="22"/>
              </w:rPr>
            </w:pPr>
            <w:r>
              <w:rPr>
                <w:szCs w:val="22"/>
              </w:rPr>
              <w:t>Review of plans</w:t>
            </w:r>
          </w:p>
        </w:tc>
      </w:tr>
      <w:tr w:rsidR="004D3AD2" w:rsidTr="004D3AD2">
        <w:tc>
          <w:tcPr>
            <w:tcW w:w="3330" w:type="dxa"/>
            <w:tcBorders>
              <w:top w:val="single" w:sz="6" w:space="0" w:color="auto"/>
              <w:left w:val="single" w:sz="12" w:space="0" w:color="auto"/>
              <w:bottom w:val="single" w:sz="6" w:space="0" w:color="auto"/>
              <w:right w:val="single" w:sz="6" w:space="0" w:color="auto"/>
            </w:tcBorders>
            <w:hideMark/>
          </w:tcPr>
          <w:p w:rsidR="004D3AD2" w:rsidRDefault="004D3AD2">
            <w:pPr>
              <w:tabs>
                <w:tab w:val="left" w:pos="360"/>
                <w:tab w:val="left" w:pos="720"/>
                <w:tab w:val="left" w:pos="1080"/>
                <w:tab w:val="left" w:pos="1440"/>
              </w:tabs>
              <w:jc w:val="center"/>
              <w:rPr>
                <w:szCs w:val="22"/>
              </w:rPr>
            </w:pPr>
            <w:r>
              <w:rPr>
                <w:szCs w:val="22"/>
              </w:rPr>
              <w:t>§ 60.9</w:t>
            </w:r>
          </w:p>
        </w:tc>
        <w:tc>
          <w:tcPr>
            <w:tcW w:w="6390" w:type="dxa"/>
            <w:tcBorders>
              <w:top w:val="single" w:sz="6" w:space="0" w:color="auto"/>
              <w:left w:val="single" w:sz="6" w:space="0" w:color="auto"/>
              <w:bottom w:val="single" w:sz="6" w:space="0" w:color="auto"/>
              <w:right w:val="single" w:sz="12" w:space="0" w:color="auto"/>
            </w:tcBorders>
            <w:hideMark/>
          </w:tcPr>
          <w:p w:rsidR="004D3AD2" w:rsidRDefault="004D3AD2">
            <w:pPr>
              <w:tabs>
                <w:tab w:val="left" w:pos="360"/>
                <w:tab w:val="left" w:pos="720"/>
                <w:tab w:val="left" w:pos="1080"/>
                <w:tab w:val="left" w:pos="1440"/>
              </w:tabs>
              <w:autoSpaceDE w:val="0"/>
              <w:autoSpaceDN w:val="0"/>
              <w:adjustRightInd w:val="0"/>
              <w:rPr>
                <w:szCs w:val="22"/>
              </w:rPr>
            </w:pPr>
            <w:r>
              <w:rPr>
                <w:szCs w:val="22"/>
              </w:rPr>
              <w:t>Availability of information</w:t>
            </w:r>
          </w:p>
        </w:tc>
      </w:tr>
      <w:tr w:rsidR="004D3AD2" w:rsidTr="004D3AD2">
        <w:tc>
          <w:tcPr>
            <w:tcW w:w="3330" w:type="dxa"/>
            <w:tcBorders>
              <w:top w:val="single" w:sz="6" w:space="0" w:color="auto"/>
              <w:left w:val="single" w:sz="12" w:space="0" w:color="auto"/>
              <w:bottom w:val="single" w:sz="6" w:space="0" w:color="auto"/>
              <w:right w:val="single" w:sz="6" w:space="0" w:color="auto"/>
            </w:tcBorders>
            <w:hideMark/>
          </w:tcPr>
          <w:p w:rsidR="004D3AD2" w:rsidRDefault="004D3AD2">
            <w:pPr>
              <w:tabs>
                <w:tab w:val="left" w:pos="360"/>
                <w:tab w:val="left" w:pos="720"/>
                <w:tab w:val="left" w:pos="1080"/>
                <w:tab w:val="left" w:pos="1440"/>
              </w:tabs>
              <w:jc w:val="center"/>
              <w:rPr>
                <w:szCs w:val="22"/>
              </w:rPr>
            </w:pPr>
            <w:r>
              <w:rPr>
                <w:szCs w:val="22"/>
              </w:rPr>
              <w:t>§ 60.10</w:t>
            </w:r>
          </w:p>
        </w:tc>
        <w:tc>
          <w:tcPr>
            <w:tcW w:w="6390" w:type="dxa"/>
            <w:tcBorders>
              <w:top w:val="single" w:sz="6" w:space="0" w:color="auto"/>
              <w:left w:val="single" w:sz="6" w:space="0" w:color="auto"/>
              <w:bottom w:val="single" w:sz="6" w:space="0" w:color="auto"/>
              <w:right w:val="single" w:sz="12" w:space="0" w:color="auto"/>
            </w:tcBorders>
            <w:hideMark/>
          </w:tcPr>
          <w:p w:rsidR="004D3AD2" w:rsidRDefault="004D3AD2">
            <w:pPr>
              <w:tabs>
                <w:tab w:val="left" w:pos="360"/>
                <w:tab w:val="left" w:pos="720"/>
                <w:tab w:val="left" w:pos="1080"/>
                <w:tab w:val="left" w:pos="1440"/>
              </w:tabs>
              <w:autoSpaceDE w:val="0"/>
              <w:autoSpaceDN w:val="0"/>
              <w:adjustRightInd w:val="0"/>
              <w:rPr>
                <w:szCs w:val="22"/>
              </w:rPr>
            </w:pPr>
            <w:r>
              <w:rPr>
                <w:szCs w:val="22"/>
              </w:rPr>
              <w:t>State Authority</w:t>
            </w:r>
          </w:p>
        </w:tc>
      </w:tr>
      <w:tr w:rsidR="004D3AD2" w:rsidTr="004D3AD2">
        <w:tc>
          <w:tcPr>
            <w:tcW w:w="3330" w:type="dxa"/>
            <w:tcBorders>
              <w:top w:val="single" w:sz="6" w:space="0" w:color="auto"/>
              <w:left w:val="single" w:sz="12" w:space="0" w:color="auto"/>
              <w:bottom w:val="single" w:sz="6" w:space="0" w:color="auto"/>
              <w:right w:val="single" w:sz="6" w:space="0" w:color="auto"/>
            </w:tcBorders>
            <w:hideMark/>
          </w:tcPr>
          <w:p w:rsidR="004D3AD2" w:rsidRDefault="004D3AD2">
            <w:pPr>
              <w:tabs>
                <w:tab w:val="left" w:pos="360"/>
                <w:tab w:val="left" w:pos="720"/>
                <w:tab w:val="left" w:pos="1080"/>
                <w:tab w:val="left" w:pos="1440"/>
              </w:tabs>
              <w:jc w:val="center"/>
              <w:rPr>
                <w:szCs w:val="22"/>
              </w:rPr>
            </w:pPr>
            <w:r>
              <w:rPr>
                <w:szCs w:val="22"/>
              </w:rPr>
              <w:t>§ 60.12</w:t>
            </w:r>
          </w:p>
        </w:tc>
        <w:tc>
          <w:tcPr>
            <w:tcW w:w="6390" w:type="dxa"/>
            <w:tcBorders>
              <w:top w:val="single" w:sz="6" w:space="0" w:color="auto"/>
              <w:left w:val="single" w:sz="6" w:space="0" w:color="auto"/>
              <w:bottom w:val="single" w:sz="6" w:space="0" w:color="auto"/>
              <w:right w:val="single" w:sz="12" w:space="0" w:color="auto"/>
            </w:tcBorders>
            <w:hideMark/>
          </w:tcPr>
          <w:p w:rsidR="004D3AD2" w:rsidRDefault="004D3AD2">
            <w:pPr>
              <w:tabs>
                <w:tab w:val="left" w:pos="360"/>
                <w:tab w:val="left" w:pos="720"/>
                <w:tab w:val="left" w:pos="1080"/>
                <w:tab w:val="left" w:pos="1440"/>
              </w:tabs>
              <w:autoSpaceDE w:val="0"/>
              <w:autoSpaceDN w:val="0"/>
              <w:adjustRightInd w:val="0"/>
              <w:rPr>
                <w:szCs w:val="22"/>
              </w:rPr>
            </w:pPr>
            <w:r>
              <w:rPr>
                <w:szCs w:val="22"/>
              </w:rPr>
              <w:t>Circumvention</w:t>
            </w:r>
          </w:p>
        </w:tc>
      </w:tr>
      <w:tr w:rsidR="004D3AD2" w:rsidTr="004D3AD2">
        <w:tc>
          <w:tcPr>
            <w:tcW w:w="3330" w:type="dxa"/>
            <w:tcBorders>
              <w:top w:val="single" w:sz="6" w:space="0" w:color="auto"/>
              <w:left w:val="single" w:sz="12" w:space="0" w:color="auto"/>
              <w:bottom w:val="single" w:sz="6" w:space="0" w:color="auto"/>
              <w:right w:val="single" w:sz="6" w:space="0" w:color="auto"/>
            </w:tcBorders>
            <w:hideMark/>
          </w:tcPr>
          <w:p w:rsidR="004D3AD2" w:rsidRDefault="004D3AD2">
            <w:pPr>
              <w:tabs>
                <w:tab w:val="left" w:pos="360"/>
                <w:tab w:val="left" w:pos="720"/>
                <w:tab w:val="left" w:pos="1080"/>
                <w:tab w:val="left" w:pos="1440"/>
              </w:tabs>
              <w:jc w:val="center"/>
              <w:rPr>
                <w:szCs w:val="22"/>
              </w:rPr>
            </w:pPr>
            <w:r>
              <w:rPr>
                <w:szCs w:val="22"/>
              </w:rPr>
              <w:t>§ 60.14</w:t>
            </w:r>
          </w:p>
        </w:tc>
        <w:tc>
          <w:tcPr>
            <w:tcW w:w="6390" w:type="dxa"/>
            <w:tcBorders>
              <w:top w:val="single" w:sz="6" w:space="0" w:color="auto"/>
              <w:left w:val="single" w:sz="6" w:space="0" w:color="auto"/>
              <w:bottom w:val="single" w:sz="6" w:space="0" w:color="auto"/>
              <w:right w:val="single" w:sz="12" w:space="0" w:color="auto"/>
            </w:tcBorders>
            <w:hideMark/>
          </w:tcPr>
          <w:p w:rsidR="004D3AD2" w:rsidRDefault="004D3AD2">
            <w:pPr>
              <w:tabs>
                <w:tab w:val="left" w:pos="360"/>
                <w:tab w:val="left" w:pos="720"/>
                <w:tab w:val="left" w:pos="1080"/>
                <w:tab w:val="left" w:pos="1440"/>
              </w:tabs>
              <w:autoSpaceDE w:val="0"/>
              <w:autoSpaceDN w:val="0"/>
              <w:adjustRightInd w:val="0"/>
              <w:rPr>
                <w:szCs w:val="22"/>
              </w:rPr>
            </w:pPr>
            <w:r>
              <w:rPr>
                <w:szCs w:val="22"/>
              </w:rPr>
              <w:t>Modification</w:t>
            </w:r>
          </w:p>
        </w:tc>
      </w:tr>
      <w:tr w:rsidR="004D3AD2" w:rsidTr="004D3AD2">
        <w:tc>
          <w:tcPr>
            <w:tcW w:w="3330" w:type="dxa"/>
            <w:tcBorders>
              <w:top w:val="single" w:sz="6" w:space="0" w:color="auto"/>
              <w:left w:val="single" w:sz="12" w:space="0" w:color="auto"/>
              <w:bottom w:val="single" w:sz="6" w:space="0" w:color="auto"/>
              <w:right w:val="single" w:sz="6" w:space="0" w:color="auto"/>
            </w:tcBorders>
            <w:hideMark/>
          </w:tcPr>
          <w:p w:rsidR="004D3AD2" w:rsidRDefault="004D3AD2">
            <w:pPr>
              <w:tabs>
                <w:tab w:val="left" w:pos="360"/>
                <w:tab w:val="left" w:pos="720"/>
                <w:tab w:val="left" w:pos="1080"/>
                <w:tab w:val="left" w:pos="1440"/>
              </w:tabs>
              <w:jc w:val="center"/>
              <w:rPr>
                <w:szCs w:val="22"/>
              </w:rPr>
            </w:pPr>
            <w:r>
              <w:rPr>
                <w:szCs w:val="22"/>
              </w:rPr>
              <w:t>§ 60.15</w:t>
            </w:r>
          </w:p>
        </w:tc>
        <w:tc>
          <w:tcPr>
            <w:tcW w:w="6390" w:type="dxa"/>
            <w:tcBorders>
              <w:top w:val="single" w:sz="6" w:space="0" w:color="auto"/>
              <w:left w:val="single" w:sz="6" w:space="0" w:color="auto"/>
              <w:bottom w:val="single" w:sz="6" w:space="0" w:color="auto"/>
              <w:right w:val="single" w:sz="12" w:space="0" w:color="auto"/>
            </w:tcBorders>
            <w:hideMark/>
          </w:tcPr>
          <w:p w:rsidR="004D3AD2" w:rsidRDefault="004D3AD2">
            <w:pPr>
              <w:tabs>
                <w:tab w:val="left" w:pos="360"/>
                <w:tab w:val="left" w:pos="720"/>
                <w:tab w:val="left" w:pos="1080"/>
                <w:tab w:val="left" w:pos="1440"/>
              </w:tabs>
              <w:autoSpaceDE w:val="0"/>
              <w:autoSpaceDN w:val="0"/>
              <w:adjustRightInd w:val="0"/>
              <w:rPr>
                <w:szCs w:val="22"/>
              </w:rPr>
            </w:pPr>
            <w:r>
              <w:rPr>
                <w:szCs w:val="22"/>
              </w:rPr>
              <w:t>Reconstruction</w:t>
            </w:r>
          </w:p>
        </w:tc>
      </w:tr>
      <w:tr w:rsidR="004D3AD2" w:rsidTr="004D3AD2">
        <w:tc>
          <w:tcPr>
            <w:tcW w:w="3330" w:type="dxa"/>
            <w:tcBorders>
              <w:top w:val="single" w:sz="6" w:space="0" w:color="auto"/>
              <w:left w:val="single" w:sz="12" w:space="0" w:color="auto"/>
              <w:bottom w:val="single" w:sz="6" w:space="0" w:color="auto"/>
              <w:right w:val="single" w:sz="6" w:space="0" w:color="auto"/>
            </w:tcBorders>
            <w:hideMark/>
          </w:tcPr>
          <w:p w:rsidR="004D3AD2" w:rsidRDefault="004D3AD2">
            <w:pPr>
              <w:tabs>
                <w:tab w:val="left" w:pos="360"/>
                <w:tab w:val="left" w:pos="720"/>
                <w:tab w:val="left" w:pos="1080"/>
                <w:tab w:val="left" w:pos="1440"/>
              </w:tabs>
              <w:jc w:val="center"/>
              <w:rPr>
                <w:szCs w:val="22"/>
              </w:rPr>
            </w:pPr>
            <w:r>
              <w:rPr>
                <w:szCs w:val="22"/>
              </w:rPr>
              <w:t>§ 60.16</w:t>
            </w:r>
          </w:p>
        </w:tc>
        <w:tc>
          <w:tcPr>
            <w:tcW w:w="6390" w:type="dxa"/>
            <w:tcBorders>
              <w:top w:val="single" w:sz="6" w:space="0" w:color="auto"/>
              <w:left w:val="single" w:sz="6" w:space="0" w:color="auto"/>
              <w:bottom w:val="single" w:sz="6" w:space="0" w:color="auto"/>
              <w:right w:val="single" w:sz="12" w:space="0" w:color="auto"/>
            </w:tcBorders>
            <w:hideMark/>
          </w:tcPr>
          <w:p w:rsidR="004D3AD2" w:rsidRDefault="004D3AD2">
            <w:pPr>
              <w:tabs>
                <w:tab w:val="left" w:pos="360"/>
                <w:tab w:val="left" w:pos="720"/>
                <w:tab w:val="left" w:pos="1080"/>
                <w:tab w:val="left" w:pos="1440"/>
              </w:tabs>
              <w:autoSpaceDE w:val="0"/>
              <w:autoSpaceDN w:val="0"/>
              <w:adjustRightInd w:val="0"/>
              <w:rPr>
                <w:szCs w:val="22"/>
              </w:rPr>
            </w:pPr>
            <w:r>
              <w:rPr>
                <w:szCs w:val="22"/>
              </w:rPr>
              <w:t>Priority list</w:t>
            </w:r>
          </w:p>
        </w:tc>
      </w:tr>
      <w:tr w:rsidR="004D3AD2" w:rsidTr="004D3AD2">
        <w:tc>
          <w:tcPr>
            <w:tcW w:w="3330" w:type="dxa"/>
            <w:tcBorders>
              <w:top w:val="single" w:sz="6" w:space="0" w:color="auto"/>
              <w:left w:val="single" w:sz="12" w:space="0" w:color="auto"/>
              <w:bottom w:val="single" w:sz="6" w:space="0" w:color="auto"/>
              <w:right w:val="single" w:sz="6" w:space="0" w:color="auto"/>
            </w:tcBorders>
            <w:hideMark/>
          </w:tcPr>
          <w:p w:rsidR="004D3AD2" w:rsidRDefault="004D3AD2">
            <w:pPr>
              <w:tabs>
                <w:tab w:val="left" w:pos="360"/>
                <w:tab w:val="left" w:pos="720"/>
                <w:tab w:val="left" w:pos="1080"/>
                <w:tab w:val="left" w:pos="1440"/>
              </w:tabs>
              <w:jc w:val="center"/>
              <w:rPr>
                <w:szCs w:val="22"/>
              </w:rPr>
            </w:pPr>
            <w:r>
              <w:rPr>
                <w:szCs w:val="22"/>
              </w:rPr>
              <w:t>§ 60.17</w:t>
            </w:r>
          </w:p>
        </w:tc>
        <w:tc>
          <w:tcPr>
            <w:tcW w:w="6390" w:type="dxa"/>
            <w:tcBorders>
              <w:top w:val="single" w:sz="6" w:space="0" w:color="auto"/>
              <w:left w:val="single" w:sz="6" w:space="0" w:color="auto"/>
              <w:bottom w:val="single" w:sz="6" w:space="0" w:color="auto"/>
              <w:right w:val="single" w:sz="12" w:space="0" w:color="auto"/>
            </w:tcBorders>
            <w:hideMark/>
          </w:tcPr>
          <w:p w:rsidR="004D3AD2" w:rsidRDefault="004D3AD2">
            <w:pPr>
              <w:tabs>
                <w:tab w:val="left" w:pos="360"/>
                <w:tab w:val="left" w:pos="720"/>
                <w:tab w:val="left" w:pos="1080"/>
                <w:tab w:val="left" w:pos="1440"/>
              </w:tabs>
              <w:autoSpaceDE w:val="0"/>
              <w:autoSpaceDN w:val="0"/>
              <w:adjustRightInd w:val="0"/>
              <w:rPr>
                <w:szCs w:val="22"/>
              </w:rPr>
            </w:pPr>
            <w:r>
              <w:rPr>
                <w:szCs w:val="22"/>
              </w:rPr>
              <w:t>Incorporations by reference</w:t>
            </w:r>
          </w:p>
        </w:tc>
      </w:tr>
      <w:tr w:rsidR="004D3AD2" w:rsidTr="004D3AD2">
        <w:tc>
          <w:tcPr>
            <w:tcW w:w="3330" w:type="dxa"/>
            <w:tcBorders>
              <w:top w:val="single" w:sz="6" w:space="0" w:color="auto"/>
              <w:left w:val="single" w:sz="12" w:space="0" w:color="auto"/>
              <w:bottom w:val="single" w:sz="12" w:space="0" w:color="auto"/>
              <w:right w:val="single" w:sz="6" w:space="0" w:color="auto"/>
            </w:tcBorders>
            <w:hideMark/>
          </w:tcPr>
          <w:p w:rsidR="004D3AD2" w:rsidRDefault="004D3AD2">
            <w:pPr>
              <w:tabs>
                <w:tab w:val="left" w:pos="360"/>
                <w:tab w:val="left" w:pos="720"/>
                <w:tab w:val="left" w:pos="1080"/>
                <w:tab w:val="left" w:pos="1440"/>
              </w:tabs>
              <w:jc w:val="center"/>
              <w:rPr>
                <w:szCs w:val="22"/>
              </w:rPr>
            </w:pPr>
            <w:r>
              <w:rPr>
                <w:szCs w:val="22"/>
              </w:rPr>
              <w:t>§ 60.19</w:t>
            </w:r>
          </w:p>
        </w:tc>
        <w:tc>
          <w:tcPr>
            <w:tcW w:w="6390" w:type="dxa"/>
            <w:tcBorders>
              <w:top w:val="single" w:sz="6" w:space="0" w:color="auto"/>
              <w:left w:val="single" w:sz="6" w:space="0" w:color="auto"/>
              <w:bottom w:val="single" w:sz="12" w:space="0" w:color="auto"/>
              <w:right w:val="single" w:sz="12" w:space="0" w:color="auto"/>
            </w:tcBorders>
            <w:hideMark/>
          </w:tcPr>
          <w:p w:rsidR="004D3AD2" w:rsidRDefault="004D3AD2">
            <w:pPr>
              <w:tabs>
                <w:tab w:val="left" w:pos="360"/>
                <w:tab w:val="left" w:pos="720"/>
                <w:tab w:val="left" w:pos="1080"/>
                <w:tab w:val="left" w:pos="1440"/>
              </w:tabs>
              <w:autoSpaceDE w:val="0"/>
              <w:autoSpaceDN w:val="0"/>
              <w:adjustRightInd w:val="0"/>
              <w:rPr>
                <w:szCs w:val="22"/>
              </w:rPr>
            </w:pPr>
            <w:r>
              <w:rPr>
                <w:szCs w:val="22"/>
              </w:rPr>
              <w:t>General notification and reporting requirements</w:t>
            </w:r>
          </w:p>
        </w:tc>
      </w:tr>
    </w:tbl>
    <w:p w:rsidR="004D3AD2" w:rsidRPr="004D3AD2" w:rsidRDefault="004D3AD2" w:rsidP="004D3AD2">
      <w:pPr>
        <w:spacing w:after="120"/>
        <w:ind w:left="360"/>
        <w:rPr>
          <w:color w:val="000000"/>
          <w:sz w:val="24"/>
          <w:szCs w:val="22"/>
        </w:rPr>
      </w:pPr>
      <w:r>
        <w:rPr>
          <w:color w:val="000000"/>
          <w:sz w:val="22"/>
          <w:szCs w:val="22"/>
        </w:rPr>
        <w:t>[40 CFR 60.4218]</w:t>
      </w:r>
    </w:p>
    <w:p w:rsidR="009D108C" w:rsidRDefault="009D108C" w:rsidP="00CC4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 w:val="22"/>
        </w:rPr>
      </w:pPr>
    </w:p>
    <w:p w:rsidR="00CC4E06" w:rsidRPr="009D108C" w:rsidRDefault="00CC4E06" w:rsidP="00CC4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 w:val="22"/>
        </w:rPr>
        <w:sectPr w:rsidR="00CC4E06" w:rsidRPr="009D108C" w:rsidSect="009C1FD0">
          <w:headerReference w:type="even" r:id="rId46"/>
          <w:headerReference w:type="default" r:id="rId47"/>
          <w:headerReference w:type="first" r:id="rId48"/>
          <w:pgSz w:w="12240" w:h="15840" w:code="1"/>
          <w:pgMar w:top="720" w:right="1080" w:bottom="720" w:left="1080" w:header="720" w:footer="720" w:gutter="0"/>
          <w:paperSrc w:first="15" w:other="15"/>
          <w:cols w:space="720"/>
        </w:sectPr>
      </w:pPr>
    </w:p>
    <w:p w:rsidR="009D108C" w:rsidRPr="009D108C" w:rsidRDefault="009D108C" w:rsidP="009D108C">
      <w:pPr>
        <w:spacing w:after="120"/>
        <w:rPr>
          <w:sz w:val="22"/>
        </w:rPr>
      </w:pPr>
      <w:r w:rsidRPr="009D108C">
        <w:rPr>
          <w:sz w:val="22"/>
        </w:rPr>
        <w:lastRenderedPageBreak/>
        <w:t>This section of the permit addresses the following emissions unit.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9D108C" w:rsidRPr="009D108C" w:rsidTr="003F2A9C">
        <w:tc>
          <w:tcPr>
            <w:tcW w:w="794" w:type="dxa"/>
            <w:tcBorders>
              <w:top w:val="single" w:sz="12" w:space="0" w:color="auto"/>
              <w:bottom w:val="single" w:sz="12" w:space="0" w:color="auto"/>
              <w:right w:val="single" w:sz="12" w:space="0" w:color="auto"/>
            </w:tcBorders>
            <w:shd w:val="clear" w:color="auto" w:fill="B8CCE4"/>
          </w:tcPr>
          <w:p w:rsidR="009D108C" w:rsidRPr="009D108C" w:rsidRDefault="00483A8F" w:rsidP="009D108C">
            <w:pPr>
              <w:jc w:val="center"/>
              <w:rPr>
                <w:b/>
              </w:rPr>
            </w:pPr>
            <w:r>
              <w:rPr>
                <w:b/>
              </w:rPr>
              <w:t>EU</w:t>
            </w:r>
            <w:r w:rsidR="009D108C" w:rsidRPr="009D108C">
              <w:rPr>
                <w:b/>
              </w:rPr>
              <w:t xml:space="preserve"> No.</w:t>
            </w:r>
          </w:p>
        </w:tc>
        <w:tc>
          <w:tcPr>
            <w:tcW w:w="9360" w:type="dxa"/>
            <w:tcBorders>
              <w:top w:val="single" w:sz="12" w:space="0" w:color="auto"/>
              <w:left w:val="single" w:sz="12" w:space="0" w:color="auto"/>
              <w:bottom w:val="single" w:sz="12" w:space="0" w:color="auto"/>
            </w:tcBorders>
            <w:shd w:val="clear" w:color="auto" w:fill="B8CCE4"/>
          </w:tcPr>
          <w:p w:rsidR="009D108C" w:rsidRPr="009D108C" w:rsidRDefault="009D108C" w:rsidP="009D108C">
            <w:r w:rsidRPr="009D108C">
              <w:rPr>
                <w:b/>
              </w:rPr>
              <w:t>Emission Unit Description</w:t>
            </w:r>
          </w:p>
        </w:tc>
      </w:tr>
      <w:tr w:rsidR="009D108C" w:rsidRPr="009D108C" w:rsidTr="003F2A9C">
        <w:tc>
          <w:tcPr>
            <w:tcW w:w="794" w:type="dxa"/>
            <w:tcBorders>
              <w:top w:val="single" w:sz="8" w:space="0" w:color="auto"/>
              <w:bottom w:val="single" w:sz="12" w:space="0" w:color="auto"/>
              <w:right w:val="single" w:sz="12" w:space="0" w:color="auto"/>
            </w:tcBorders>
            <w:vAlign w:val="center"/>
          </w:tcPr>
          <w:p w:rsidR="009D108C" w:rsidRPr="009D108C" w:rsidRDefault="001D1F12" w:rsidP="009D108C">
            <w:pPr>
              <w:jc w:val="center"/>
              <w:rPr>
                <w:b/>
                <w:highlight w:val="yellow"/>
              </w:rPr>
            </w:pPr>
            <w:r>
              <w:rPr>
                <w:b/>
              </w:rPr>
              <w:t>005</w:t>
            </w:r>
          </w:p>
        </w:tc>
        <w:tc>
          <w:tcPr>
            <w:tcW w:w="9360" w:type="dxa"/>
            <w:tcBorders>
              <w:top w:val="single" w:sz="8" w:space="0" w:color="auto"/>
              <w:left w:val="single" w:sz="12" w:space="0" w:color="auto"/>
              <w:bottom w:val="single" w:sz="12" w:space="0" w:color="auto"/>
            </w:tcBorders>
          </w:tcPr>
          <w:p w:rsidR="009D108C" w:rsidRPr="009D108C" w:rsidRDefault="009D108C" w:rsidP="009D108C">
            <w:r w:rsidRPr="009D108C">
              <w:t>Mechanical Draft Auxiliary Cooling System</w:t>
            </w:r>
          </w:p>
        </w:tc>
      </w:tr>
    </w:tbl>
    <w:p w:rsidR="009D108C" w:rsidRPr="009D108C" w:rsidRDefault="009D108C" w:rsidP="009D108C">
      <w:pPr>
        <w:autoSpaceDE w:val="0"/>
        <w:autoSpaceDN w:val="0"/>
        <w:adjustRightInd w:val="0"/>
        <w:spacing w:before="240" w:after="120"/>
        <w:rPr>
          <w:color w:val="000000"/>
          <w:sz w:val="22"/>
          <w:szCs w:val="22"/>
        </w:rPr>
      </w:pPr>
      <w:r w:rsidRPr="009D108C">
        <w:rPr>
          <w:b/>
          <w:bCs/>
          <w:color w:val="000000"/>
          <w:sz w:val="22"/>
          <w:szCs w:val="22"/>
        </w:rPr>
        <w:t>EQUIPMENT SPECIFICATIONS</w:t>
      </w:r>
    </w:p>
    <w:p w:rsidR="009D108C" w:rsidRPr="009D108C" w:rsidRDefault="009D108C" w:rsidP="009C4C80">
      <w:pPr>
        <w:numPr>
          <w:ilvl w:val="0"/>
          <w:numId w:val="35"/>
        </w:numPr>
        <w:tabs>
          <w:tab w:val="left" w:pos="720"/>
          <w:tab w:val="left" w:pos="1080"/>
          <w:tab w:val="left" w:pos="1440"/>
          <w:tab w:val="left" w:pos="1800"/>
          <w:tab w:val="left" w:pos="2160"/>
        </w:tabs>
        <w:spacing w:after="120"/>
        <w:rPr>
          <w:sz w:val="22"/>
          <w:szCs w:val="22"/>
        </w:rPr>
      </w:pPr>
      <w:r w:rsidRPr="009D108C">
        <w:rPr>
          <w:sz w:val="22"/>
          <w:szCs w:val="22"/>
          <w:u w:val="single"/>
        </w:rPr>
        <w:t>Mechanical Draft Cooling Tower</w:t>
      </w:r>
      <w:r w:rsidRPr="009D108C">
        <w:rPr>
          <w:sz w:val="22"/>
          <w:szCs w:val="22"/>
        </w:rPr>
        <w:t xml:space="preserve">:  The permittee is authorized to install one mechanical draft cooling tower with the following nominal design characteristics:  </w:t>
      </w:r>
      <w:r w:rsidR="000E36B8">
        <w:rPr>
          <w:sz w:val="22"/>
          <w:szCs w:val="22"/>
        </w:rPr>
        <w:t>6</w:t>
      </w:r>
      <w:r w:rsidRPr="009D108C">
        <w:rPr>
          <w:sz w:val="22"/>
          <w:szCs w:val="22"/>
        </w:rPr>
        <w:t xml:space="preserve"> cells; </w:t>
      </w:r>
      <w:r w:rsidR="007E67F9">
        <w:rPr>
          <w:sz w:val="22"/>
          <w:szCs w:val="22"/>
        </w:rPr>
        <w:t>51.2</w:t>
      </w:r>
      <w:r w:rsidRPr="009D108C">
        <w:rPr>
          <w:sz w:val="22"/>
          <w:szCs w:val="22"/>
        </w:rPr>
        <w:t xml:space="preserve"> feet high; circulating water flow rate of </w:t>
      </w:r>
      <w:r w:rsidR="009B2BFA">
        <w:rPr>
          <w:sz w:val="22"/>
          <w:szCs w:val="22"/>
        </w:rPr>
        <w:t>94,258</w:t>
      </w:r>
      <w:r w:rsidRPr="009D108C">
        <w:rPr>
          <w:sz w:val="22"/>
          <w:szCs w:val="22"/>
        </w:rPr>
        <w:t xml:space="preserve"> gallons per minute; and </w:t>
      </w:r>
      <w:r w:rsidR="009C4C80" w:rsidRPr="009C4C80">
        <w:rPr>
          <w:sz w:val="22"/>
          <w:szCs w:val="22"/>
        </w:rPr>
        <w:t xml:space="preserve">drift eliminators with a drift rate of no more than </w:t>
      </w:r>
      <w:r w:rsidRPr="009D108C">
        <w:rPr>
          <w:sz w:val="22"/>
          <w:szCs w:val="22"/>
        </w:rPr>
        <w:t>0.0005%.  [Application No</w:t>
      </w:r>
      <w:r w:rsidR="009B46BA">
        <w:rPr>
          <w:sz w:val="22"/>
          <w:szCs w:val="22"/>
        </w:rPr>
        <w:t xml:space="preserve">. </w:t>
      </w:r>
      <w:r w:rsidR="00B519E0">
        <w:rPr>
          <w:sz w:val="22"/>
          <w:szCs w:val="22"/>
        </w:rPr>
        <w:t>1010524</w:t>
      </w:r>
      <w:r w:rsidR="009B46BA" w:rsidRPr="009B46BA">
        <w:rPr>
          <w:sz w:val="22"/>
          <w:szCs w:val="22"/>
        </w:rPr>
        <w:t>-</w:t>
      </w:r>
      <w:r w:rsidR="00B519E0">
        <w:rPr>
          <w:sz w:val="22"/>
          <w:szCs w:val="22"/>
        </w:rPr>
        <w:t>001</w:t>
      </w:r>
      <w:r w:rsidR="009B46BA" w:rsidRPr="009B46BA">
        <w:rPr>
          <w:sz w:val="22"/>
          <w:szCs w:val="22"/>
        </w:rPr>
        <w:t>-AC</w:t>
      </w:r>
      <w:r w:rsidRPr="009D108C">
        <w:rPr>
          <w:sz w:val="22"/>
          <w:szCs w:val="22"/>
        </w:rPr>
        <w:t>]</w:t>
      </w:r>
    </w:p>
    <w:p w:rsidR="009D108C" w:rsidRPr="009D108C" w:rsidRDefault="009D108C" w:rsidP="009D108C">
      <w:pPr>
        <w:autoSpaceDE w:val="0"/>
        <w:autoSpaceDN w:val="0"/>
        <w:adjustRightInd w:val="0"/>
        <w:spacing w:before="240" w:after="120"/>
        <w:rPr>
          <w:color w:val="000000"/>
          <w:sz w:val="22"/>
          <w:szCs w:val="22"/>
        </w:rPr>
      </w:pPr>
      <w:r w:rsidRPr="009D108C">
        <w:rPr>
          <w:b/>
          <w:caps/>
          <w:color w:val="000000"/>
          <w:sz w:val="22"/>
          <w:szCs w:val="22"/>
        </w:rPr>
        <w:t>Emissions and Performance Requirements</w:t>
      </w:r>
    </w:p>
    <w:p w:rsidR="009D108C" w:rsidRPr="009D108C" w:rsidRDefault="009D108C" w:rsidP="009D108C">
      <w:pPr>
        <w:numPr>
          <w:ilvl w:val="0"/>
          <w:numId w:val="35"/>
        </w:numPr>
        <w:spacing w:after="120"/>
        <w:contextualSpacing/>
        <w:rPr>
          <w:sz w:val="22"/>
        </w:rPr>
      </w:pPr>
      <w:r w:rsidRPr="009D108C">
        <w:rPr>
          <w:sz w:val="22"/>
          <w:szCs w:val="22"/>
          <w:u w:val="single"/>
        </w:rPr>
        <w:t>Drift Rate</w:t>
      </w:r>
      <w:r w:rsidRPr="009D108C">
        <w:rPr>
          <w:sz w:val="22"/>
          <w:szCs w:val="22"/>
        </w:rPr>
        <w:t>:  Within 60 days of commencing commercial operation, the permittee shall submit</w:t>
      </w:r>
      <w:r w:rsidR="0084200F">
        <w:rPr>
          <w:sz w:val="22"/>
          <w:szCs w:val="22"/>
        </w:rPr>
        <w:t xml:space="preserve"> manufacturer specification sheets as </w:t>
      </w:r>
      <w:r w:rsidRPr="009D108C">
        <w:rPr>
          <w:sz w:val="22"/>
          <w:szCs w:val="22"/>
        </w:rPr>
        <w:t>certification to the Department that the cooling tower was constructed to achieve the specified drift rate of no more than 0.0005 percent of the circulating water flow rate.  [Rule 62</w:t>
      </w:r>
      <w:r w:rsidRPr="009D108C">
        <w:rPr>
          <w:sz w:val="22"/>
          <w:szCs w:val="22"/>
        </w:rPr>
        <w:noBreakHyphen/>
        <w:t>212.400(</w:t>
      </w:r>
      <w:proofErr w:type="gramStart"/>
      <w:r w:rsidRPr="009D108C">
        <w:rPr>
          <w:sz w:val="22"/>
          <w:szCs w:val="22"/>
        </w:rPr>
        <w:t>10)(</w:t>
      </w:r>
      <w:proofErr w:type="gramEnd"/>
      <w:r w:rsidRPr="009D108C">
        <w:rPr>
          <w:sz w:val="22"/>
          <w:szCs w:val="22"/>
        </w:rPr>
        <w:t>BACT), F.A.C.]</w:t>
      </w:r>
    </w:p>
    <w:p w:rsidR="009D108C" w:rsidRPr="009D108C" w:rsidRDefault="009D108C" w:rsidP="009D108C">
      <w:pPr>
        <w:autoSpaceDE w:val="0"/>
        <w:autoSpaceDN w:val="0"/>
        <w:adjustRightInd w:val="0"/>
        <w:spacing w:before="240" w:after="120"/>
        <w:rPr>
          <w:color w:val="000000"/>
          <w:sz w:val="22"/>
          <w:szCs w:val="22"/>
        </w:rPr>
      </w:pPr>
      <w:r w:rsidRPr="009D108C">
        <w:rPr>
          <w:b/>
          <w:bCs/>
          <w:color w:val="000000"/>
          <w:sz w:val="22"/>
          <w:szCs w:val="22"/>
        </w:rPr>
        <w:t>HOURS OF OPERATION</w:t>
      </w:r>
    </w:p>
    <w:p w:rsidR="009D108C" w:rsidRPr="009D108C" w:rsidRDefault="009D108C" w:rsidP="009D108C">
      <w:pPr>
        <w:numPr>
          <w:ilvl w:val="0"/>
          <w:numId w:val="35"/>
        </w:numPr>
        <w:spacing w:after="120"/>
        <w:contextualSpacing/>
        <w:rPr>
          <w:sz w:val="22"/>
          <w:szCs w:val="22"/>
        </w:rPr>
      </w:pPr>
      <w:r w:rsidRPr="009D108C">
        <w:rPr>
          <w:sz w:val="22"/>
          <w:szCs w:val="22"/>
          <w:u w:val="single"/>
        </w:rPr>
        <w:t>Hours of Operation</w:t>
      </w:r>
      <w:r w:rsidRPr="009D108C">
        <w:rPr>
          <w:sz w:val="22"/>
          <w:szCs w:val="22"/>
        </w:rPr>
        <w:t>:  The hours of operation are not limited (8,760 hours per year).  [Rules 62-4.070(3) and 62-210.200(PTE), F.A.C.]</w:t>
      </w:r>
    </w:p>
    <w:p w:rsidR="007E67F9" w:rsidRPr="009D108C" w:rsidRDefault="007E67F9" w:rsidP="009D108C">
      <w:pPr>
        <w:tabs>
          <w:tab w:val="left" w:pos="720"/>
          <w:tab w:val="left" w:pos="1080"/>
          <w:tab w:val="left" w:pos="1440"/>
          <w:tab w:val="left" w:pos="1800"/>
          <w:tab w:val="left" w:pos="2160"/>
        </w:tabs>
        <w:spacing w:after="120"/>
        <w:rPr>
          <w:sz w:val="22"/>
          <w:szCs w:val="22"/>
        </w:rPr>
      </w:pPr>
    </w:p>
    <w:p w:rsidR="009D108C" w:rsidRPr="009D108C" w:rsidRDefault="009D108C" w:rsidP="009D108C">
      <w:pPr>
        <w:rPr>
          <w:sz w:val="22"/>
          <w:highlight w:val="yellow"/>
          <w:u w:val="double"/>
        </w:rPr>
        <w:sectPr w:rsidR="009D108C" w:rsidRPr="009D108C">
          <w:headerReference w:type="even" r:id="rId49"/>
          <w:headerReference w:type="default" r:id="rId50"/>
          <w:headerReference w:type="first" r:id="rId51"/>
          <w:pgSz w:w="12240" w:h="15840"/>
          <w:pgMar w:top="1151" w:right="1152" w:bottom="720" w:left="1152" w:header="450" w:footer="432" w:gutter="0"/>
          <w:cols w:space="720"/>
        </w:sectPr>
      </w:pPr>
    </w:p>
    <w:p w:rsidR="009D108C" w:rsidRPr="009D108C" w:rsidRDefault="009D108C" w:rsidP="009D108C">
      <w:pPr>
        <w:spacing w:after="120"/>
        <w:rPr>
          <w:sz w:val="22"/>
          <w:szCs w:val="22"/>
        </w:rPr>
      </w:pPr>
      <w:r w:rsidRPr="009D108C">
        <w:rPr>
          <w:sz w:val="22"/>
          <w:szCs w:val="22"/>
        </w:rPr>
        <w:lastRenderedPageBreak/>
        <w:t xml:space="preserve">This section of the permit addresses the following </w:t>
      </w:r>
      <w:r w:rsidRPr="009D108C">
        <w:rPr>
          <w:sz w:val="22"/>
        </w:rPr>
        <w:t>emissions</w:t>
      </w:r>
      <w:r w:rsidRPr="009D108C">
        <w:rPr>
          <w:sz w:val="22"/>
          <w:szCs w:val="22"/>
        </w:rPr>
        <w:t xml:space="preserve"> unit.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9D108C" w:rsidRPr="009D108C" w:rsidTr="003F2A9C">
        <w:tc>
          <w:tcPr>
            <w:tcW w:w="794" w:type="dxa"/>
            <w:tcBorders>
              <w:top w:val="single" w:sz="12" w:space="0" w:color="auto"/>
              <w:bottom w:val="single" w:sz="12" w:space="0" w:color="auto"/>
              <w:right w:val="single" w:sz="12" w:space="0" w:color="auto"/>
            </w:tcBorders>
            <w:shd w:val="clear" w:color="auto" w:fill="B8CCE4"/>
          </w:tcPr>
          <w:p w:rsidR="009D108C" w:rsidRPr="009D108C" w:rsidRDefault="00B40825" w:rsidP="009D108C">
            <w:pPr>
              <w:jc w:val="center"/>
              <w:rPr>
                <w:b/>
              </w:rPr>
            </w:pPr>
            <w:r>
              <w:rPr>
                <w:b/>
              </w:rPr>
              <w:t>EU</w:t>
            </w:r>
            <w:r w:rsidR="009D108C" w:rsidRPr="009D108C">
              <w:rPr>
                <w:b/>
              </w:rPr>
              <w:t xml:space="preserve"> No.</w:t>
            </w:r>
          </w:p>
        </w:tc>
        <w:tc>
          <w:tcPr>
            <w:tcW w:w="9360" w:type="dxa"/>
            <w:tcBorders>
              <w:top w:val="single" w:sz="12" w:space="0" w:color="auto"/>
              <w:left w:val="single" w:sz="12" w:space="0" w:color="auto"/>
              <w:bottom w:val="single" w:sz="12" w:space="0" w:color="auto"/>
            </w:tcBorders>
            <w:shd w:val="clear" w:color="auto" w:fill="B8CCE4"/>
          </w:tcPr>
          <w:p w:rsidR="009D108C" w:rsidRPr="009D108C" w:rsidRDefault="009D108C" w:rsidP="009D108C">
            <w:r w:rsidRPr="009D108C">
              <w:rPr>
                <w:b/>
              </w:rPr>
              <w:t>Emission Unit Description</w:t>
            </w:r>
          </w:p>
        </w:tc>
      </w:tr>
      <w:tr w:rsidR="009D108C" w:rsidRPr="009D108C" w:rsidTr="003F2A9C">
        <w:tc>
          <w:tcPr>
            <w:tcW w:w="794" w:type="dxa"/>
            <w:tcBorders>
              <w:top w:val="single" w:sz="8" w:space="0" w:color="auto"/>
              <w:bottom w:val="single" w:sz="12" w:space="0" w:color="auto"/>
              <w:right w:val="single" w:sz="12" w:space="0" w:color="auto"/>
            </w:tcBorders>
            <w:vAlign w:val="center"/>
          </w:tcPr>
          <w:p w:rsidR="009D108C" w:rsidRPr="009D108C" w:rsidRDefault="001D1F12" w:rsidP="009D108C">
            <w:pPr>
              <w:jc w:val="center"/>
              <w:rPr>
                <w:b/>
              </w:rPr>
            </w:pPr>
            <w:r>
              <w:rPr>
                <w:b/>
              </w:rPr>
              <w:t>006</w:t>
            </w:r>
          </w:p>
        </w:tc>
        <w:tc>
          <w:tcPr>
            <w:tcW w:w="9360" w:type="dxa"/>
            <w:tcBorders>
              <w:top w:val="single" w:sz="8" w:space="0" w:color="auto"/>
              <w:left w:val="single" w:sz="12" w:space="0" w:color="auto"/>
              <w:bottom w:val="single" w:sz="12" w:space="0" w:color="auto"/>
            </w:tcBorders>
          </w:tcPr>
          <w:p w:rsidR="009D108C" w:rsidRPr="009D108C" w:rsidRDefault="00175276" w:rsidP="009D108C">
            <w:r>
              <w:t xml:space="preserve">Two </w:t>
            </w:r>
            <w:r w:rsidR="009D108C" w:rsidRPr="009D108C">
              <w:t xml:space="preserve">Circuit </w:t>
            </w:r>
            <w:r w:rsidR="00B40825">
              <w:t>B</w:t>
            </w:r>
            <w:r w:rsidR="009D108C" w:rsidRPr="009D108C">
              <w:t>reakers</w:t>
            </w:r>
          </w:p>
        </w:tc>
      </w:tr>
    </w:tbl>
    <w:p w:rsidR="009D108C" w:rsidRPr="009D108C" w:rsidRDefault="009D108C" w:rsidP="009D108C">
      <w:pPr>
        <w:tabs>
          <w:tab w:val="left" w:pos="0"/>
        </w:tabs>
        <w:spacing w:before="120" w:after="120"/>
        <w:ind w:left="360" w:hanging="360"/>
        <w:rPr>
          <w:b/>
          <w:caps/>
          <w:sz w:val="22"/>
          <w:szCs w:val="22"/>
        </w:rPr>
      </w:pPr>
      <w:r w:rsidRPr="009D108C">
        <w:rPr>
          <w:b/>
          <w:caps/>
          <w:sz w:val="22"/>
          <w:szCs w:val="22"/>
        </w:rPr>
        <w:t>Equipment Specifications</w:t>
      </w:r>
    </w:p>
    <w:p w:rsidR="009D108C" w:rsidRPr="009D108C" w:rsidRDefault="009D108C" w:rsidP="009B46BA">
      <w:pPr>
        <w:numPr>
          <w:ilvl w:val="0"/>
          <w:numId w:val="36"/>
        </w:numPr>
        <w:spacing w:after="120"/>
        <w:rPr>
          <w:sz w:val="22"/>
          <w:szCs w:val="22"/>
        </w:rPr>
      </w:pPr>
      <w:r w:rsidRPr="009D108C">
        <w:rPr>
          <w:sz w:val="22"/>
          <w:szCs w:val="22"/>
          <w:u w:val="single"/>
        </w:rPr>
        <w:t>Equipment</w:t>
      </w:r>
      <w:r w:rsidRPr="009D108C">
        <w:rPr>
          <w:sz w:val="22"/>
          <w:szCs w:val="22"/>
        </w:rPr>
        <w:t>:  The permittee is authorized to construct, operate, and maintain two circuit breakers containing sulfur hexafluoride (SF</w:t>
      </w:r>
      <w:r w:rsidRPr="009D108C">
        <w:rPr>
          <w:sz w:val="22"/>
          <w:szCs w:val="22"/>
          <w:vertAlign w:val="subscript"/>
        </w:rPr>
        <w:t>6</w:t>
      </w:r>
      <w:r w:rsidRPr="009D108C">
        <w:rPr>
          <w:sz w:val="22"/>
          <w:szCs w:val="22"/>
        </w:rPr>
        <w:t>).  The circuit breakers must have a manufacturer-designed SF</w:t>
      </w:r>
      <w:r w:rsidRPr="009D108C">
        <w:rPr>
          <w:sz w:val="22"/>
          <w:szCs w:val="22"/>
          <w:vertAlign w:val="subscript"/>
        </w:rPr>
        <w:t>6</w:t>
      </w:r>
      <w:r w:rsidRPr="009D108C">
        <w:rPr>
          <w:sz w:val="22"/>
          <w:szCs w:val="22"/>
        </w:rPr>
        <w:t xml:space="preserve"> leak rate of no more than 0.5% per year.  The circuit breakers must be equipped with leakage detection systems.  [Rule 62-21</w:t>
      </w:r>
      <w:r w:rsidR="0024014D">
        <w:rPr>
          <w:sz w:val="22"/>
          <w:szCs w:val="22"/>
        </w:rPr>
        <w:t>2</w:t>
      </w:r>
      <w:r w:rsidRPr="009D108C">
        <w:rPr>
          <w:sz w:val="22"/>
          <w:szCs w:val="22"/>
        </w:rPr>
        <w:t>.</w:t>
      </w:r>
      <w:r w:rsidR="0024014D">
        <w:rPr>
          <w:sz w:val="22"/>
          <w:szCs w:val="22"/>
        </w:rPr>
        <w:t>4</w:t>
      </w:r>
      <w:r w:rsidRPr="009D108C">
        <w:rPr>
          <w:sz w:val="22"/>
          <w:szCs w:val="22"/>
        </w:rPr>
        <w:t>00(BACT), F.A.C.</w:t>
      </w:r>
      <w:r w:rsidR="009B46BA">
        <w:rPr>
          <w:sz w:val="22"/>
          <w:szCs w:val="22"/>
        </w:rPr>
        <w:t>,</w:t>
      </w:r>
      <w:r w:rsidRPr="009D108C">
        <w:rPr>
          <w:sz w:val="22"/>
          <w:szCs w:val="22"/>
        </w:rPr>
        <w:t xml:space="preserve"> and Application No.</w:t>
      </w:r>
      <w:r w:rsidR="009B46BA">
        <w:rPr>
          <w:sz w:val="22"/>
          <w:szCs w:val="22"/>
        </w:rPr>
        <w:t xml:space="preserve"> </w:t>
      </w:r>
      <w:r w:rsidR="00B519E0">
        <w:rPr>
          <w:sz w:val="22"/>
          <w:szCs w:val="22"/>
        </w:rPr>
        <w:t>1010524</w:t>
      </w:r>
      <w:r w:rsidR="009B46BA" w:rsidRPr="009B46BA">
        <w:rPr>
          <w:sz w:val="22"/>
          <w:szCs w:val="22"/>
        </w:rPr>
        <w:t>-</w:t>
      </w:r>
      <w:r w:rsidR="00B519E0">
        <w:rPr>
          <w:sz w:val="22"/>
          <w:szCs w:val="22"/>
        </w:rPr>
        <w:t>001</w:t>
      </w:r>
      <w:r w:rsidR="009B46BA" w:rsidRPr="009B46BA">
        <w:rPr>
          <w:sz w:val="22"/>
          <w:szCs w:val="22"/>
        </w:rPr>
        <w:t>-AC</w:t>
      </w:r>
      <w:r w:rsidRPr="009D108C">
        <w:rPr>
          <w:sz w:val="22"/>
          <w:szCs w:val="22"/>
        </w:rPr>
        <w:t>]</w:t>
      </w:r>
    </w:p>
    <w:p w:rsidR="009D108C" w:rsidRPr="009D108C" w:rsidRDefault="009D108C" w:rsidP="009D108C">
      <w:pPr>
        <w:tabs>
          <w:tab w:val="left" w:pos="0"/>
        </w:tabs>
        <w:spacing w:before="120" w:after="120"/>
        <w:rPr>
          <w:b/>
          <w:caps/>
          <w:sz w:val="22"/>
          <w:szCs w:val="22"/>
        </w:rPr>
      </w:pPr>
      <w:r w:rsidRPr="009D108C">
        <w:rPr>
          <w:b/>
          <w:caps/>
          <w:sz w:val="22"/>
          <w:szCs w:val="22"/>
        </w:rPr>
        <w:t>circuit breaker monitoring plan</w:t>
      </w:r>
    </w:p>
    <w:p w:rsidR="009D108C" w:rsidRPr="009D108C" w:rsidRDefault="009D108C" w:rsidP="009B46BA">
      <w:pPr>
        <w:numPr>
          <w:ilvl w:val="0"/>
          <w:numId w:val="36"/>
        </w:numPr>
        <w:spacing w:after="120"/>
        <w:rPr>
          <w:sz w:val="22"/>
          <w:szCs w:val="22"/>
        </w:rPr>
      </w:pPr>
      <w:r w:rsidRPr="009D108C">
        <w:rPr>
          <w:sz w:val="22"/>
          <w:szCs w:val="22"/>
          <w:u w:val="single"/>
        </w:rPr>
        <w:t>Monitoring Plan Requirements</w:t>
      </w:r>
      <w:r w:rsidRPr="009D108C">
        <w:rPr>
          <w:sz w:val="22"/>
          <w:szCs w:val="22"/>
        </w:rPr>
        <w:t>:  Within 180 days after the circuit breakers are placed into service, the permittee shall submit to the Department a circuit breaker monitoring plan detailing the number and location of circuit breakers installed and procedures for detecting leaks from the circuit breakers and expected remedial courses of action after leaks are detected.  [Rule 62-21</w:t>
      </w:r>
      <w:r w:rsidR="0024014D">
        <w:rPr>
          <w:sz w:val="22"/>
          <w:szCs w:val="22"/>
        </w:rPr>
        <w:t>2</w:t>
      </w:r>
      <w:r w:rsidRPr="009D108C">
        <w:rPr>
          <w:sz w:val="22"/>
          <w:szCs w:val="22"/>
        </w:rPr>
        <w:t>.</w:t>
      </w:r>
      <w:r w:rsidR="0024014D">
        <w:rPr>
          <w:sz w:val="22"/>
          <w:szCs w:val="22"/>
        </w:rPr>
        <w:t>4</w:t>
      </w:r>
      <w:r w:rsidRPr="009D108C">
        <w:rPr>
          <w:sz w:val="22"/>
          <w:szCs w:val="22"/>
        </w:rPr>
        <w:t>00(BACT), F.A.C.</w:t>
      </w:r>
      <w:r w:rsidR="009B46BA">
        <w:rPr>
          <w:sz w:val="22"/>
          <w:szCs w:val="22"/>
        </w:rPr>
        <w:t>,</w:t>
      </w:r>
      <w:r w:rsidRPr="009D108C">
        <w:rPr>
          <w:sz w:val="22"/>
          <w:szCs w:val="22"/>
        </w:rPr>
        <w:t xml:space="preserve"> and Application No.</w:t>
      </w:r>
      <w:r w:rsidR="009B46BA">
        <w:rPr>
          <w:sz w:val="22"/>
          <w:szCs w:val="22"/>
        </w:rPr>
        <w:t xml:space="preserve"> </w:t>
      </w:r>
      <w:r w:rsidR="00B519E0">
        <w:rPr>
          <w:sz w:val="22"/>
          <w:szCs w:val="22"/>
        </w:rPr>
        <w:t>1010524</w:t>
      </w:r>
      <w:r w:rsidR="009B46BA" w:rsidRPr="009B46BA">
        <w:rPr>
          <w:sz w:val="22"/>
          <w:szCs w:val="22"/>
        </w:rPr>
        <w:t>-</w:t>
      </w:r>
      <w:r w:rsidR="00B519E0">
        <w:rPr>
          <w:sz w:val="22"/>
          <w:szCs w:val="22"/>
        </w:rPr>
        <w:t>001</w:t>
      </w:r>
      <w:r w:rsidR="009B46BA" w:rsidRPr="009B46BA">
        <w:rPr>
          <w:sz w:val="22"/>
          <w:szCs w:val="22"/>
        </w:rPr>
        <w:t>-AC</w:t>
      </w:r>
      <w:r w:rsidRPr="009D108C">
        <w:rPr>
          <w:sz w:val="22"/>
          <w:szCs w:val="22"/>
        </w:rPr>
        <w:t>]</w:t>
      </w:r>
    </w:p>
    <w:p w:rsidR="009D108C" w:rsidRPr="009D108C" w:rsidRDefault="009D108C" w:rsidP="009D108C">
      <w:pPr>
        <w:tabs>
          <w:tab w:val="left" w:pos="0"/>
        </w:tabs>
        <w:spacing w:before="120" w:after="120"/>
        <w:ind w:left="360" w:hanging="360"/>
        <w:rPr>
          <w:b/>
          <w:caps/>
          <w:sz w:val="22"/>
          <w:szCs w:val="22"/>
        </w:rPr>
      </w:pPr>
      <w:r w:rsidRPr="009D108C">
        <w:rPr>
          <w:b/>
          <w:caps/>
          <w:sz w:val="22"/>
          <w:szCs w:val="22"/>
        </w:rPr>
        <w:t>Hours of Operation</w:t>
      </w:r>
    </w:p>
    <w:p w:rsidR="00C827A2" w:rsidRDefault="009D108C" w:rsidP="009D108C">
      <w:pPr>
        <w:numPr>
          <w:ilvl w:val="0"/>
          <w:numId w:val="36"/>
        </w:numPr>
        <w:spacing w:after="120"/>
        <w:contextualSpacing/>
        <w:rPr>
          <w:sz w:val="22"/>
          <w:szCs w:val="22"/>
        </w:rPr>
      </w:pPr>
      <w:r w:rsidRPr="009D108C">
        <w:rPr>
          <w:sz w:val="22"/>
          <w:szCs w:val="22"/>
          <w:u w:val="single"/>
        </w:rPr>
        <w:t>Hours of Operation</w:t>
      </w:r>
      <w:r w:rsidRPr="009D108C">
        <w:rPr>
          <w:sz w:val="22"/>
          <w:szCs w:val="22"/>
        </w:rPr>
        <w:t>:  The hours of operation of are not limited (8,760 hours per year).  [Rules 62-4.070(3) and 62-210.200(PTE), F.A.C.]</w:t>
      </w:r>
    </w:p>
    <w:sectPr w:rsidR="00C827A2" w:rsidSect="009C1FD0">
      <w:headerReference w:type="even" r:id="rId52"/>
      <w:headerReference w:type="default" r:id="rId53"/>
      <w:headerReference w:type="first" r:id="rId54"/>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4D73" w:rsidRDefault="00AA4D73">
      <w:r>
        <w:separator/>
      </w:r>
    </w:p>
  </w:endnote>
  <w:endnote w:type="continuationSeparator" w:id="0">
    <w:p w:rsidR="00AA4D73" w:rsidRDefault="00AA4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73" w:rsidRDefault="00AA4D73" w:rsidP="003E25F0">
    <w:pPr>
      <w:pStyle w:val="Footer"/>
      <w:numPr>
        <w:ilvl w:val="0"/>
        <w:numId w:val="4"/>
      </w:numPr>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73" w:rsidRPr="00D86185" w:rsidRDefault="00AA4D73" w:rsidP="0093149E">
    <w:pPr>
      <w:tabs>
        <w:tab w:val="center" w:pos="4680"/>
        <w:tab w:val="right" w:pos="9360"/>
      </w:tabs>
      <w:jc w:val="center"/>
      <w:rPr>
        <w:rStyle w:val="PageNumber"/>
      </w:rPr>
    </w:pPr>
    <w:r w:rsidRPr="00D86185">
      <w:rPr>
        <w:i/>
        <w:color w:val="00A88E"/>
      </w:rPr>
      <w:t>www.dep.state.fl.us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73" w:rsidRPr="00101CF1" w:rsidRDefault="00AA4D73" w:rsidP="00101CF1">
    <w:pPr>
      <w:pBdr>
        <w:top w:val="single" w:sz="6" w:space="1" w:color="auto"/>
      </w:pBdr>
      <w:tabs>
        <w:tab w:val="right" w:pos="10080"/>
      </w:tabs>
      <w:spacing w:before="120"/>
    </w:pPr>
    <w:r w:rsidRPr="00101CF1">
      <w:t>Shady Hills Energy Center, LLC</w:t>
    </w:r>
    <w:r w:rsidRPr="00101CF1">
      <w:tab/>
      <w:t xml:space="preserve">Air Permit No. </w:t>
    </w:r>
    <w:r w:rsidR="00B519E0" w:rsidRPr="00B519E0">
      <w:t>1010524</w:t>
    </w:r>
    <w:r w:rsidRPr="00101CF1">
      <w:t>-</w:t>
    </w:r>
    <w:r w:rsidR="00B519E0">
      <w:t>001</w:t>
    </w:r>
    <w:r w:rsidRPr="00101CF1">
      <w:t>-AC (PSD-FL-444)</w:t>
    </w:r>
  </w:p>
  <w:p w:rsidR="00AA4D73" w:rsidRPr="00101CF1" w:rsidRDefault="00AA4D73" w:rsidP="00101CF1">
    <w:pPr>
      <w:pBdr>
        <w:top w:val="single" w:sz="6" w:space="1" w:color="auto"/>
      </w:pBdr>
      <w:tabs>
        <w:tab w:val="right" w:pos="10080"/>
      </w:tabs>
    </w:pPr>
    <w:r w:rsidRPr="00101CF1">
      <w:t>Shady Hills Combined Cycle Facility</w:t>
    </w:r>
    <w:r w:rsidRPr="00101CF1">
      <w:tab/>
      <w:t>Pasco County</w:t>
    </w:r>
  </w:p>
  <w:p w:rsidR="00AA4D73" w:rsidRPr="007A3A2A" w:rsidRDefault="00AA4D73" w:rsidP="0069513F">
    <w:pPr>
      <w:pBdr>
        <w:top w:val="single" w:sz="6" w:space="1" w:color="auto"/>
      </w:pBdr>
      <w:jc w:val="center"/>
      <w:rPr>
        <w:rStyle w:val="PageNumber"/>
      </w:rPr>
    </w:pPr>
    <w:r w:rsidRPr="007A3A2A">
      <w:t xml:space="preserve">Page </w:t>
    </w:r>
    <w:r w:rsidRPr="007A3A2A">
      <w:rPr>
        <w:rStyle w:val="PageNumber"/>
      </w:rPr>
      <w:fldChar w:fldCharType="begin"/>
    </w:r>
    <w:r w:rsidRPr="007A3A2A">
      <w:rPr>
        <w:rStyle w:val="PageNumber"/>
      </w:rPr>
      <w:instrText xml:space="preserve"> PAGE </w:instrText>
    </w:r>
    <w:r w:rsidRPr="007A3A2A">
      <w:rPr>
        <w:rStyle w:val="PageNumber"/>
      </w:rPr>
      <w:fldChar w:fldCharType="separate"/>
    </w:r>
    <w:r w:rsidR="00B519E0">
      <w:rPr>
        <w:rStyle w:val="PageNumber"/>
        <w:noProof/>
      </w:rPr>
      <w:t>22</w:t>
    </w:r>
    <w:r w:rsidRPr="007A3A2A">
      <w:rPr>
        <w:rStyle w:val="PageNumber"/>
      </w:rPr>
      <w:fldChar w:fldCharType="end"/>
    </w:r>
    <w:r w:rsidRPr="007A3A2A">
      <w:rPr>
        <w:rStyle w:val="PageNumber"/>
      </w:rPr>
      <w:t xml:space="preserve"> of </w:t>
    </w:r>
    <w:r w:rsidRPr="00933EBC">
      <w:rPr>
        <w:rStyle w:val="PageNumber"/>
      </w:rPr>
      <w:t>2</w:t>
    </w:r>
    <w:r>
      <w:rPr>
        <w:rStyle w:val="PageNumber"/>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4D73" w:rsidRDefault="00AA4D73">
      <w:r>
        <w:separator/>
      </w:r>
    </w:p>
  </w:footnote>
  <w:footnote w:type="continuationSeparator" w:id="0">
    <w:p w:rsidR="00AA4D73" w:rsidRDefault="00AA4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73" w:rsidRDefault="00B519E0" w:rsidP="003E25F0">
    <w:pPr>
      <w:pStyle w:val="Header"/>
      <w:numPr>
        <w:ilvl w:val="0"/>
        <w:numId w:val="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233715" o:spid="_x0000_s2087" type="#_x0000_t136" style="position:absolute;left:0;text-align:left;margin-left:0;margin-top:0;width:509.4pt;height:191pt;rotation:315;z-index:-251616256;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73" w:rsidRDefault="00B519E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233724" o:spid="_x0000_s2096" type="#_x0000_t136" style="position:absolute;margin-left:0;margin-top:0;width:509.4pt;height:191pt;rotation:315;z-index:-251597824;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73" w:rsidRDefault="00B519E0">
    <w:pPr>
      <w:pStyle w:val="BodyText"/>
      <w:pBdr>
        <w:bottom w:val="single" w:sz="4" w:space="1" w:color="auto"/>
      </w:pBdr>
      <w:spacing w:after="240"/>
      <w:jc w:val="center"/>
      <w:rPr>
        <w:b/>
        <w:bCs/>
        <w:caps/>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233725" o:spid="_x0000_s2097" type="#_x0000_t136" style="position:absolute;left:0;text-align:left;margin-left:0;margin-top:0;width:509.4pt;height:191pt;rotation:315;z-index:-251595776;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sidR="00AA4D73">
      <w:rPr>
        <w:b/>
        <w:bCs/>
        <w:sz w:val="22"/>
      </w:rPr>
      <w:t>SECTION 2.  ADMINISTRATIVE REQUIREMENTS</w:t>
    </w:r>
    <w:r w:rsidR="00AA4D73">
      <w:rPr>
        <w:b/>
        <w:sz w:val="22"/>
      </w:rPr>
      <w:t xml:space="preserve"> </w:t>
    </w:r>
    <w:r w:rsidR="00AA4D73" w:rsidRPr="00E461C7">
      <w:rPr>
        <w:b/>
        <w:sz w:val="22"/>
        <w:highlight w:val="yellow"/>
      </w:rPr>
      <w:t>(DRAFT)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73" w:rsidRDefault="00B519E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233723" o:spid="_x0000_s2095" type="#_x0000_t136" style="position:absolute;margin-left:0;margin-top:0;width:509.4pt;height:191pt;rotation:315;z-index:-251599872;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73" w:rsidRDefault="00B519E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233727" o:spid="_x0000_s2099" type="#_x0000_t136" style="position:absolute;margin-left:0;margin-top:0;width:509.4pt;height:191pt;rotation:315;z-index:-251591680;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73" w:rsidRDefault="00B519E0">
    <w:pPr>
      <w:pStyle w:val="Header"/>
      <w:pBdr>
        <w:between w:val="single" w:sz="6"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233728" o:spid="_x0000_s2100" type="#_x0000_t136" style="position:absolute;left:0;text-align:left;margin-left:0;margin-top:0;width:509.4pt;height:191pt;rotation:315;z-index:-251589632;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sidR="00AA4D73">
      <w:rPr>
        <w:b/>
        <w:sz w:val="22"/>
      </w:rPr>
      <w:t xml:space="preserve">SECTION 3.  EMISSIONS UNIT SPECIFIC CONDITIONS </w:t>
    </w:r>
    <w:r w:rsidR="00AA4D73" w:rsidRPr="00E461C7">
      <w:rPr>
        <w:b/>
        <w:sz w:val="22"/>
        <w:highlight w:val="yellow"/>
      </w:rPr>
      <w:t>(DRAFT)</w:t>
    </w:r>
  </w:p>
  <w:p w:rsidR="00AA4D73" w:rsidRDefault="00AA4D73">
    <w:pPr>
      <w:pStyle w:val="Header"/>
      <w:pBdr>
        <w:between w:val="single" w:sz="6" w:space="1" w:color="auto"/>
      </w:pBdr>
      <w:tabs>
        <w:tab w:val="clear" w:pos="4320"/>
        <w:tab w:val="clear" w:pos="8640"/>
      </w:tabs>
      <w:spacing w:after="240"/>
      <w:jc w:val="center"/>
      <w:rPr>
        <w:b/>
        <w:sz w:val="22"/>
      </w:rPr>
    </w:pPr>
    <w:r>
      <w:rPr>
        <w:rStyle w:val="PageNumber"/>
        <w:b/>
        <w:sz w:val="22"/>
      </w:rPr>
      <w:t xml:space="preserve">A.  </w:t>
    </w:r>
    <w:r w:rsidRPr="003620EF">
      <w:rPr>
        <w:rStyle w:val="PageNumber"/>
        <w:b/>
        <w:sz w:val="22"/>
      </w:rPr>
      <w:t>GE 7H</w:t>
    </w:r>
    <w:r>
      <w:rPr>
        <w:rStyle w:val="PageNumber"/>
        <w:b/>
        <w:sz w:val="22"/>
      </w:rPr>
      <w:t>A</w:t>
    </w:r>
    <w:r w:rsidRPr="003620EF">
      <w:rPr>
        <w:rStyle w:val="PageNumber"/>
        <w:b/>
        <w:sz w:val="22"/>
      </w:rPr>
      <w:t>.02</w:t>
    </w:r>
    <w:r>
      <w:rPr>
        <w:rStyle w:val="PageNumber"/>
        <w:b/>
        <w:sz w:val="22"/>
      </w:rPr>
      <w:t xml:space="preserve"> CTG</w:t>
    </w:r>
    <w:r w:rsidRPr="00175276">
      <w:rPr>
        <w:rStyle w:val="PageNumber"/>
        <w:b/>
        <w:sz w:val="22"/>
      </w:rPr>
      <w:t xml:space="preserve"> (EU</w:t>
    </w:r>
    <w:r>
      <w:rPr>
        <w:rStyle w:val="PageNumber"/>
        <w:b/>
        <w:sz w:val="22"/>
      </w:rPr>
      <w:t xml:space="preserve"> No. </w:t>
    </w:r>
    <w:r w:rsidR="00C1612A">
      <w:rPr>
        <w:rStyle w:val="PageNumber"/>
        <w:b/>
        <w:sz w:val="22"/>
      </w:rPr>
      <w:t>001</w:t>
    </w:r>
    <w:r w:rsidRPr="00175276">
      <w:rPr>
        <w:rStyle w:val="PageNumber"/>
        <w:b/>
        <w:sz w:val="22"/>
      </w:rPr>
      <w:t>)</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73" w:rsidRDefault="00B519E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233726" o:spid="_x0000_s2098" type="#_x0000_t136" style="position:absolute;margin-left:0;margin-top:0;width:509.4pt;height:191pt;rotation:315;z-index:-251593728;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73" w:rsidRDefault="00B519E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233730" o:spid="_x0000_s2102" type="#_x0000_t136" style="position:absolute;margin-left:0;margin-top:0;width:509.4pt;height:191pt;rotation:315;z-index:-251585536;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73" w:rsidRDefault="00B519E0">
    <w:pPr>
      <w:pStyle w:val="Header"/>
      <w:pBdr>
        <w:between w:val="single" w:sz="6"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233731" o:spid="_x0000_s2103" type="#_x0000_t136" style="position:absolute;left:0;text-align:left;margin-left:0;margin-top:0;width:509.4pt;height:191pt;rotation:315;z-index:-251583488;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sidR="00AA4D73">
      <w:rPr>
        <w:b/>
        <w:sz w:val="22"/>
      </w:rPr>
      <w:t xml:space="preserve">SECTION 3.  EMISSIONS UNIT SPECIFIC CONDITIONS </w:t>
    </w:r>
    <w:r w:rsidR="00AA4D73" w:rsidRPr="00E461C7">
      <w:rPr>
        <w:b/>
        <w:sz w:val="22"/>
        <w:highlight w:val="yellow"/>
      </w:rPr>
      <w:t>(DRAFT)</w:t>
    </w:r>
  </w:p>
  <w:p w:rsidR="00AA4D73" w:rsidRDefault="00AA4D73">
    <w:pPr>
      <w:pStyle w:val="Header"/>
      <w:pBdr>
        <w:between w:val="single" w:sz="6" w:space="1" w:color="auto"/>
      </w:pBdr>
      <w:tabs>
        <w:tab w:val="clear" w:pos="4320"/>
        <w:tab w:val="clear" w:pos="8640"/>
      </w:tabs>
      <w:spacing w:after="240"/>
      <w:jc w:val="center"/>
      <w:rPr>
        <w:b/>
        <w:sz w:val="22"/>
      </w:rPr>
    </w:pPr>
    <w:r>
      <w:rPr>
        <w:rStyle w:val="PageNumber"/>
        <w:b/>
        <w:sz w:val="22"/>
      </w:rPr>
      <w:t xml:space="preserve">B.  </w:t>
    </w:r>
    <w:r w:rsidRPr="007741BA">
      <w:rPr>
        <w:rStyle w:val="PageNumber"/>
        <w:b/>
        <w:sz w:val="22"/>
      </w:rPr>
      <w:t xml:space="preserve">Auxiliary </w:t>
    </w:r>
    <w:r w:rsidRPr="00175276">
      <w:rPr>
        <w:rStyle w:val="PageNumber"/>
        <w:b/>
        <w:sz w:val="22"/>
      </w:rPr>
      <w:t xml:space="preserve">Boiler (EU No. </w:t>
    </w:r>
    <w:r w:rsidR="001D1F12">
      <w:rPr>
        <w:rStyle w:val="PageNumber"/>
        <w:b/>
        <w:sz w:val="22"/>
      </w:rPr>
      <w:t>002</w:t>
    </w:r>
    <w:r w:rsidRPr="00175276">
      <w:rPr>
        <w:rStyle w:val="PageNumber"/>
        <w:b/>
        <w:sz w:val="22"/>
      </w:rPr>
      <w:t>)</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73" w:rsidRDefault="00B519E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233729" o:spid="_x0000_s2101" type="#_x0000_t136" style="position:absolute;margin-left:0;margin-top:0;width:509.4pt;height:191pt;rotation:315;z-index:-251587584;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73" w:rsidRDefault="00B519E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233733" o:spid="_x0000_s2105" type="#_x0000_t136" style="position:absolute;margin-left:0;margin-top:0;width:509.4pt;height:191pt;rotation:315;z-index:-251579392;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458" w:type="dxa"/>
      <w:tblLook w:val="01E0" w:firstRow="1" w:lastRow="1" w:firstColumn="1" w:lastColumn="1" w:noHBand="0" w:noVBand="0"/>
    </w:tblPr>
    <w:tblGrid>
      <w:gridCol w:w="2616"/>
      <w:gridCol w:w="5232"/>
      <w:gridCol w:w="2610"/>
    </w:tblGrid>
    <w:tr w:rsidR="00AA4D73" w:rsidRPr="00365850" w:rsidTr="00F1455E">
      <w:tc>
        <w:tcPr>
          <w:tcW w:w="2616" w:type="dxa"/>
        </w:tcPr>
        <w:p w:rsidR="00AA4D73" w:rsidRDefault="00AA4D73" w:rsidP="00355AEB">
          <w:r>
            <w:rPr>
              <w:noProof/>
            </w:rPr>
            <w:drawing>
              <wp:inline distT="0" distB="0" distL="0" distR="0" wp14:anchorId="54F991DB" wp14:editId="055D5302">
                <wp:extent cx="1417320" cy="14173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232" w:type="dxa"/>
        </w:tcPr>
        <w:p w:rsidR="00AA4D73" w:rsidRPr="00AF6F7B" w:rsidRDefault="00AA4D73" w:rsidP="00355AEB">
          <w:pPr>
            <w:spacing w:line="120" w:lineRule="atLeast"/>
            <w:jc w:val="center"/>
            <w:rPr>
              <w:rFonts w:eastAsia="Adobe Fan Heiti Std B"/>
              <w:b/>
              <w:sz w:val="32"/>
              <w:szCs w:val="32"/>
            </w:rPr>
          </w:pPr>
          <w:r w:rsidRPr="00AF6F7B">
            <w:rPr>
              <w:rFonts w:eastAsia="Adobe Fan Heiti Std B"/>
              <w:b/>
              <w:sz w:val="36"/>
              <w:szCs w:val="36"/>
            </w:rPr>
            <w:t>F</w:t>
          </w:r>
          <w:r w:rsidRPr="00AF6F7B">
            <w:rPr>
              <w:rFonts w:eastAsia="Adobe Fan Heiti Std B"/>
              <w:b/>
              <w:sz w:val="32"/>
              <w:szCs w:val="32"/>
            </w:rPr>
            <w:t xml:space="preserve">lorida </w:t>
          </w:r>
          <w:r w:rsidRPr="00AF6F7B">
            <w:rPr>
              <w:rFonts w:eastAsia="Adobe Fan Heiti Std B"/>
              <w:b/>
              <w:sz w:val="36"/>
              <w:szCs w:val="36"/>
            </w:rPr>
            <w:t>D</w:t>
          </w:r>
          <w:r w:rsidRPr="00AF6F7B">
            <w:rPr>
              <w:rFonts w:eastAsia="Adobe Fan Heiti Std B"/>
              <w:b/>
              <w:sz w:val="32"/>
              <w:szCs w:val="32"/>
            </w:rPr>
            <w:t>epartment of</w:t>
          </w:r>
        </w:p>
        <w:p w:rsidR="00AA4D73" w:rsidRPr="00AF6F7B" w:rsidRDefault="00AA4D73" w:rsidP="00355AEB">
          <w:pPr>
            <w:spacing w:line="120" w:lineRule="atLeast"/>
            <w:jc w:val="center"/>
            <w:rPr>
              <w:rFonts w:eastAsia="Adobe Fan Heiti Std B"/>
              <w:b/>
              <w:sz w:val="32"/>
              <w:szCs w:val="32"/>
            </w:rPr>
          </w:pPr>
          <w:r w:rsidRPr="00AF6F7B">
            <w:rPr>
              <w:rFonts w:eastAsia="Adobe Fan Heiti Std B"/>
              <w:b/>
              <w:sz w:val="36"/>
              <w:szCs w:val="36"/>
            </w:rPr>
            <w:t>E</w:t>
          </w:r>
          <w:r w:rsidRPr="00AF6F7B">
            <w:rPr>
              <w:rFonts w:eastAsia="Adobe Fan Heiti Std B"/>
              <w:b/>
              <w:sz w:val="32"/>
              <w:szCs w:val="32"/>
            </w:rPr>
            <w:t xml:space="preserve">nvironmental </w:t>
          </w:r>
          <w:r w:rsidRPr="00AF6F7B">
            <w:rPr>
              <w:rFonts w:eastAsia="Adobe Fan Heiti Std B"/>
              <w:b/>
              <w:sz w:val="36"/>
              <w:szCs w:val="36"/>
            </w:rPr>
            <w:t>P</w:t>
          </w:r>
          <w:r w:rsidRPr="00AF6F7B">
            <w:rPr>
              <w:rFonts w:eastAsia="Adobe Fan Heiti Std B"/>
              <w:b/>
              <w:sz w:val="32"/>
              <w:szCs w:val="32"/>
            </w:rPr>
            <w:t>rotection</w:t>
          </w:r>
        </w:p>
        <w:p w:rsidR="00AA4D73" w:rsidRPr="00AF6F7B" w:rsidRDefault="00AA4D73" w:rsidP="00355AEB">
          <w:pPr>
            <w:spacing w:line="220" w:lineRule="exact"/>
            <w:jc w:val="center"/>
            <w:rPr>
              <w:rFonts w:eastAsia="Adobe Fan Heiti Std B"/>
              <w:b/>
              <w:sz w:val="22"/>
              <w:szCs w:val="22"/>
            </w:rPr>
          </w:pPr>
        </w:p>
        <w:p w:rsidR="00AA4D73" w:rsidRPr="00AF6F7B" w:rsidRDefault="00AA4D73" w:rsidP="00355AEB">
          <w:pPr>
            <w:jc w:val="center"/>
            <w:rPr>
              <w:rFonts w:eastAsia="Adobe Fan Heiti Std B"/>
              <w:sz w:val="22"/>
              <w:szCs w:val="22"/>
            </w:rPr>
          </w:pPr>
          <w:r w:rsidRPr="00AF6F7B">
            <w:rPr>
              <w:sz w:val="22"/>
              <w:szCs w:val="22"/>
            </w:rPr>
            <w:fldChar w:fldCharType="begin"/>
          </w:r>
          <w:r w:rsidRPr="00AF6F7B">
            <w:rPr>
              <w:sz w:val="22"/>
              <w:szCs w:val="22"/>
            </w:rPr>
            <w:instrText xml:space="preserve"> FILLIN  "Enter Address"  \* MERGEFORMAT </w:instrText>
          </w:r>
          <w:r w:rsidRPr="00AF6F7B">
            <w:rPr>
              <w:sz w:val="22"/>
              <w:szCs w:val="22"/>
            </w:rPr>
            <w:fldChar w:fldCharType="separate"/>
          </w:r>
          <w:r>
            <w:rPr>
              <w:sz w:val="22"/>
              <w:szCs w:val="22"/>
            </w:rPr>
            <w:t>Bob Martinez Center</w:t>
          </w:r>
          <w:r>
            <w:rPr>
              <w:sz w:val="22"/>
              <w:szCs w:val="22"/>
            </w:rPr>
            <w:br/>
            <w:t>2600 Blair Stone Road</w:t>
          </w:r>
          <w:r>
            <w:rPr>
              <w:sz w:val="22"/>
              <w:szCs w:val="22"/>
            </w:rPr>
            <w:br/>
            <w:t>Tallahassee, Florida 32399-2400</w:t>
          </w:r>
          <w:r w:rsidRPr="00AF6F7B">
            <w:rPr>
              <w:sz w:val="22"/>
              <w:szCs w:val="22"/>
            </w:rPr>
            <w:fldChar w:fldCharType="end"/>
          </w:r>
        </w:p>
      </w:tc>
      <w:tc>
        <w:tcPr>
          <w:tcW w:w="2610" w:type="dxa"/>
        </w:tcPr>
        <w:p w:rsidR="00AA4D73" w:rsidRPr="00AF6F7B" w:rsidRDefault="00AA4D73" w:rsidP="00355AEB">
          <w:pPr>
            <w:jc w:val="right"/>
            <w:rPr>
              <w:rFonts w:eastAsia="Adobe Fan Heiti Std B"/>
              <w:sz w:val="22"/>
              <w:szCs w:val="22"/>
            </w:rPr>
          </w:pPr>
          <w:r w:rsidRPr="00AF6F7B">
            <w:rPr>
              <w:rFonts w:eastAsia="Adobe Fan Heiti Std B"/>
              <w:sz w:val="22"/>
              <w:szCs w:val="22"/>
            </w:rPr>
            <w:t>Rick Scott</w:t>
          </w:r>
        </w:p>
        <w:p w:rsidR="00AA4D73" w:rsidRPr="00AF6F7B" w:rsidRDefault="00AA4D73" w:rsidP="00355AEB">
          <w:pPr>
            <w:spacing w:line="200" w:lineRule="exact"/>
            <w:jc w:val="right"/>
            <w:rPr>
              <w:rFonts w:eastAsia="Adobe Fan Heiti Std B"/>
              <w:sz w:val="22"/>
              <w:szCs w:val="22"/>
            </w:rPr>
          </w:pPr>
          <w:r w:rsidRPr="00AF6F7B">
            <w:rPr>
              <w:rFonts w:eastAsia="Adobe Fan Heiti Std B"/>
              <w:sz w:val="22"/>
              <w:szCs w:val="22"/>
            </w:rPr>
            <w:t>Governor</w:t>
          </w:r>
        </w:p>
        <w:p w:rsidR="00AA4D73" w:rsidRPr="00AF6F7B" w:rsidRDefault="00AA4D73" w:rsidP="00355AEB">
          <w:pPr>
            <w:jc w:val="right"/>
            <w:rPr>
              <w:rFonts w:eastAsia="Adobe Fan Heiti Std B"/>
              <w:sz w:val="22"/>
              <w:szCs w:val="22"/>
            </w:rPr>
          </w:pPr>
        </w:p>
        <w:p w:rsidR="00AA4D73" w:rsidRPr="00AF6F7B" w:rsidRDefault="00AA4D73" w:rsidP="00355AEB">
          <w:pPr>
            <w:jc w:val="right"/>
            <w:rPr>
              <w:rFonts w:eastAsia="Adobe Fan Heiti Std B"/>
              <w:sz w:val="22"/>
              <w:szCs w:val="22"/>
            </w:rPr>
          </w:pPr>
          <w:r w:rsidRPr="00AF6F7B">
            <w:rPr>
              <w:rFonts w:eastAsia="Adobe Fan Heiti Std B"/>
              <w:sz w:val="22"/>
              <w:szCs w:val="22"/>
            </w:rPr>
            <w:t>Carlos Lopez-Cantera</w:t>
          </w:r>
          <w:r w:rsidRPr="00AF6F7B">
            <w:rPr>
              <w:rFonts w:eastAsia="Adobe Fan Heiti Std B"/>
              <w:sz w:val="22"/>
              <w:szCs w:val="22"/>
            </w:rPr>
            <w:br/>
            <w:t>Lt. Governor</w:t>
          </w:r>
        </w:p>
        <w:p w:rsidR="00AA4D73" w:rsidRPr="00AF6F7B" w:rsidRDefault="00AA4D73" w:rsidP="00355AEB">
          <w:pPr>
            <w:jc w:val="right"/>
            <w:rPr>
              <w:rFonts w:eastAsia="Adobe Fan Heiti Std B"/>
              <w:sz w:val="22"/>
              <w:szCs w:val="22"/>
            </w:rPr>
          </w:pPr>
        </w:p>
        <w:p w:rsidR="00AA4D73" w:rsidRPr="005A633D" w:rsidRDefault="00AA4D73" w:rsidP="00E91D4B">
          <w:pPr>
            <w:jc w:val="right"/>
            <w:rPr>
              <w:rFonts w:eastAsia="Adobe Fan Heiti Std B"/>
              <w:sz w:val="22"/>
              <w:szCs w:val="22"/>
            </w:rPr>
          </w:pPr>
          <w:r w:rsidRPr="005A633D">
            <w:rPr>
              <w:rFonts w:eastAsia="Adobe Fan Heiti Std B"/>
              <w:sz w:val="22"/>
              <w:szCs w:val="22"/>
            </w:rPr>
            <w:t xml:space="preserve">Noah </w:t>
          </w:r>
          <w:proofErr w:type="spellStart"/>
          <w:r w:rsidRPr="005A633D">
            <w:rPr>
              <w:rFonts w:eastAsia="Adobe Fan Heiti Std B"/>
              <w:sz w:val="22"/>
              <w:szCs w:val="22"/>
            </w:rPr>
            <w:t>Valenstein</w:t>
          </w:r>
          <w:proofErr w:type="spellEnd"/>
        </w:p>
        <w:p w:rsidR="00AA4D73" w:rsidRPr="00AF6F7B" w:rsidRDefault="00AA4D73" w:rsidP="00E91D4B">
          <w:pPr>
            <w:jc w:val="right"/>
            <w:rPr>
              <w:rFonts w:eastAsia="Adobe Fan Heiti Std B"/>
              <w:color w:val="006666"/>
            </w:rPr>
          </w:pPr>
          <w:r w:rsidRPr="005A633D">
            <w:rPr>
              <w:rFonts w:eastAsia="Adobe Fan Heiti Std B"/>
              <w:sz w:val="22"/>
              <w:szCs w:val="22"/>
            </w:rPr>
            <w:t>Secretary</w:t>
          </w:r>
        </w:p>
      </w:tc>
    </w:tr>
  </w:tbl>
  <w:p w:rsidR="00AA4D73" w:rsidRPr="00D86185" w:rsidRDefault="00B519E0" w:rsidP="00D86185">
    <w:pPr>
      <w:pStyle w:val="Header"/>
      <w:rPr>
        <w:szCs w:val="3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233716" o:spid="_x0000_s2088" type="#_x0000_t136" style="position:absolute;margin-left:0;margin-top:0;width:509.4pt;height:191pt;rotation:315;z-index:-251614208;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73" w:rsidRDefault="00B519E0">
    <w:pPr>
      <w:pStyle w:val="Header"/>
      <w:pBdr>
        <w:between w:val="single" w:sz="6"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233734" o:spid="_x0000_s2106" type="#_x0000_t136" style="position:absolute;left:0;text-align:left;margin-left:0;margin-top:0;width:509.4pt;height:191pt;rotation:315;z-index:-251577344;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Pr>
        <w:noProof/>
      </w:rPr>
      <w:pict>
        <v:shape id="_x0000_s2085" type="#_x0000_t136" style="position:absolute;left:0;text-align:left;margin-left:0;margin-top:0;width:509.4pt;height:191pt;rotation:315;z-index:-251620352;mso-position-horizontal:center;mso-position-horizontal-relative:margin;mso-position-vertical:center;mso-position-vertical-relative:margin" o:allowincell="f" fillcolor="#95b3d7" stroked="f">
          <v:fill opacity=".5"/>
          <v:textpath style="font-family:&quot;Arial Black&quot;;font-size:1pt" string="DRAFT"/>
          <w10:wrap anchorx="margin" anchory="margin"/>
        </v:shape>
      </w:pict>
    </w:r>
    <w:r w:rsidR="00AA4D73">
      <w:rPr>
        <w:b/>
        <w:sz w:val="22"/>
      </w:rPr>
      <w:t xml:space="preserve">SECTION 3.  EMISSIONS UNIT SPECIFIC CONDITIONS </w:t>
    </w:r>
    <w:r w:rsidR="00AA4D73" w:rsidRPr="00E461C7">
      <w:rPr>
        <w:b/>
        <w:sz w:val="22"/>
        <w:highlight w:val="yellow"/>
      </w:rPr>
      <w:t>(DRAFT)</w:t>
    </w:r>
  </w:p>
  <w:p w:rsidR="00AA4D73" w:rsidRDefault="00AA4D73">
    <w:pPr>
      <w:pStyle w:val="Header"/>
      <w:pBdr>
        <w:between w:val="single" w:sz="6" w:space="1" w:color="auto"/>
      </w:pBdr>
      <w:tabs>
        <w:tab w:val="clear" w:pos="4320"/>
        <w:tab w:val="clear" w:pos="8640"/>
      </w:tabs>
      <w:spacing w:after="240"/>
      <w:jc w:val="center"/>
      <w:rPr>
        <w:b/>
        <w:sz w:val="22"/>
      </w:rPr>
    </w:pPr>
    <w:r>
      <w:rPr>
        <w:rStyle w:val="PageNumber"/>
        <w:b/>
        <w:sz w:val="22"/>
      </w:rPr>
      <w:t xml:space="preserve">C.  </w:t>
    </w:r>
    <w:r w:rsidRPr="00C03AC7">
      <w:rPr>
        <w:rStyle w:val="PageNumber"/>
        <w:b/>
        <w:sz w:val="22"/>
      </w:rPr>
      <w:t xml:space="preserve">Emergency Diesel </w:t>
    </w:r>
    <w:r w:rsidRPr="00175276">
      <w:rPr>
        <w:rStyle w:val="PageNumber"/>
        <w:b/>
        <w:sz w:val="22"/>
      </w:rPr>
      <w:t xml:space="preserve">Generator (EU No. </w:t>
    </w:r>
    <w:r w:rsidR="001D1F12">
      <w:rPr>
        <w:rStyle w:val="PageNumber"/>
        <w:b/>
        <w:sz w:val="22"/>
      </w:rPr>
      <w:t>003</w:t>
    </w:r>
    <w:r w:rsidRPr="00175276">
      <w:rPr>
        <w:rStyle w:val="PageNumber"/>
        <w:b/>
        <w:sz w:val="22"/>
      </w:rPr>
      <w:t>)</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73" w:rsidRDefault="00B519E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233732" o:spid="_x0000_s2104" type="#_x0000_t136" style="position:absolute;margin-left:0;margin-top:0;width:509.4pt;height:191pt;rotation:315;z-index:-251581440;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73" w:rsidRDefault="00B519E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233736" o:spid="_x0000_s2108" type="#_x0000_t136" style="position:absolute;margin-left:0;margin-top:0;width:509.4pt;height:191pt;rotation:315;z-index:-251573248;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73" w:rsidRDefault="00B519E0">
    <w:pPr>
      <w:pStyle w:val="Header"/>
      <w:pBdr>
        <w:between w:val="single" w:sz="6"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233737" o:spid="_x0000_s2109" type="#_x0000_t136" style="position:absolute;left:0;text-align:left;margin-left:0;margin-top:0;width:509.4pt;height:191pt;rotation:315;z-index:-251571200;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sidR="00AA4D73">
      <w:rPr>
        <w:b/>
        <w:sz w:val="22"/>
      </w:rPr>
      <w:t>SECTION 3.  EMISSIONS UNIT SPECIFIC CONDITIONS</w:t>
    </w:r>
  </w:p>
  <w:p w:rsidR="00AA4D73" w:rsidRDefault="00AA4D73">
    <w:pPr>
      <w:pStyle w:val="Header"/>
      <w:pBdr>
        <w:between w:val="single" w:sz="6" w:space="1" w:color="auto"/>
      </w:pBdr>
      <w:tabs>
        <w:tab w:val="clear" w:pos="4320"/>
        <w:tab w:val="clear" w:pos="8640"/>
      </w:tabs>
      <w:spacing w:after="240"/>
      <w:jc w:val="center"/>
      <w:rPr>
        <w:b/>
        <w:sz w:val="22"/>
      </w:rPr>
    </w:pPr>
    <w:r>
      <w:rPr>
        <w:rStyle w:val="PageNumber"/>
        <w:b/>
        <w:sz w:val="22"/>
      </w:rPr>
      <w:t xml:space="preserve">D.  Fire Pump </w:t>
    </w:r>
    <w:r w:rsidRPr="001A0342">
      <w:rPr>
        <w:rStyle w:val="PageNumber"/>
        <w:b/>
        <w:sz w:val="22"/>
      </w:rPr>
      <w:t xml:space="preserve">Engine (EU No. </w:t>
    </w:r>
    <w:r w:rsidR="001D1F12">
      <w:rPr>
        <w:rStyle w:val="PageNumber"/>
        <w:b/>
        <w:sz w:val="22"/>
      </w:rPr>
      <w:t>004</w:t>
    </w:r>
    <w:r w:rsidRPr="001A0342">
      <w:rPr>
        <w:rStyle w:val="PageNumber"/>
        <w:b/>
        <w:sz w:val="22"/>
      </w:rPr>
      <w:t>)</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73" w:rsidRDefault="00B519E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233735" o:spid="_x0000_s2107" type="#_x0000_t136" style="position:absolute;margin-left:0;margin-top:0;width:509.4pt;height:191pt;rotation:315;z-index:-251575296;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73" w:rsidRDefault="00B519E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233739" o:spid="_x0000_s2111" type="#_x0000_t136" style="position:absolute;margin-left:0;margin-top:0;width:509.4pt;height:191pt;rotation:315;z-index:-251567104;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73" w:rsidRDefault="00B519E0">
    <w:pPr>
      <w:pStyle w:val="Header"/>
      <w:pBdr>
        <w:between w:val="single" w:sz="6"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233740" o:spid="_x0000_s2112" type="#_x0000_t136" style="position:absolute;left:0;text-align:left;margin-left:0;margin-top:0;width:509.4pt;height:191pt;rotation:315;z-index:-251565056;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sidR="00AA4D73">
      <w:rPr>
        <w:b/>
        <w:sz w:val="22"/>
      </w:rPr>
      <w:t>SECTION 3.  EMISSIONS UNIT SPECIFIC CONDITIONS</w:t>
    </w:r>
  </w:p>
  <w:p w:rsidR="00AA4D73" w:rsidRDefault="00AA4D73">
    <w:pPr>
      <w:pStyle w:val="Header"/>
      <w:pBdr>
        <w:between w:val="single" w:sz="6" w:space="1" w:color="auto"/>
      </w:pBdr>
      <w:tabs>
        <w:tab w:val="clear" w:pos="4320"/>
        <w:tab w:val="clear" w:pos="8640"/>
      </w:tabs>
      <w:spacing w:after="240"/>
      <w:jc w:val="center"/>
      <w:rPr>
        <w:b/>
        <w:sz w:val="22"/>
      </w:rPr>
    </w:pPr>
    <w:r>
      <w:rPr>
        <w:rStyle w:val="PageNumber"/>
        <w:b/>
        <w:sz w:val="22"/>
      </w:rPr>
      <w:t xml:space="preserve">E.  </w:t>
    </w:r>
    <w:r w:rsidRPr="002D7026">
      <w:rPr>
        <w:rStyle w:val="PageNumber"/>
        <w:b/>
        <w:sz w:val="22"/>
      </w:rPr>
      <w:t xml:space="preserve">Mechanical Draft Cooling </w:t>
    </w:r>
    <w:r w:rsidRPr="001A0342">
      <w:rPr>
        <w:rStyle w:val="PageNumber"/>
        <w:b/>
        <w:sz w:val="22"/>
      </w:rPr>
      <w:t xml:space="preserve">Tower (EU No. </w:t>
    </w:r>
    <w:r w:rsidR="001D1F12">
      <w:rPr>
        <w:rStyle w:val="PageNumber"/>
        <w:b/>
        <w:sz w:val="22"/>
      </w:rPr>
      <w:t>005</w:t>
    </w:r>
    <w:r w:rsidRPr="001A0342">
      <w:rPr>
        <w:rStyle w:val="PageNumber"/>
        <w:b/>
        <w:sz w:val="22"/>
      </w:rPr>
      <w:t>)</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73" w:rsidRDefault="00B519E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233738" o:spid="_x0000_s2110" type="#_x0000_t136" style="position:absolute;margin-left:0;margin-top:0;width:509.4pt;height:191pt;rotation:315;z-index:-251569152;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73" w:rsidRDefault="00B519E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233742" o:spid="_x0000_s2114" type="#_x0000_t136" style="position:absolute;margin-left:0;margin-top:0;width:509.4pt;height:191pt;rotation:315;z-index:-251560960;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73" w:rsidRDefault="00B519E0">
    <w:pPr>
      <w:pStyle w:val="Header"/>
      <w:pBdr>
        <w:between w:val="single" w:sz="6"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233743" o:spid="_x0000_s2115" type="#_x0000_t136" style="position:absolute;left:0;text-align:left;margin-left:0;margin-top:0;width:509.4pt;height:191pt;rotation:315;z-index:-251558912;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sidR="00AA4D73">
      <w:rPr>
        <w:b/>
        <w:sz w:val="22"/>
      </w:rPr>
      <w:t>SECTION 3.  EMISSIONS UNIT SPECIFIC CONDITIONS</w:t>
    </w:r>
  </w:p>
  <w:p w:rsidR="00AA4D73" w:rsidRDefault="00AA4D73">
    <w:pPr>
      <w:pStyle w:val="Header"/>
      <w:pBdr>
        <w:between w:val="single" w:sz="6" w:space="1" w:color="auto"/>
      </w:pBdr>
      <w:tabs>
        <w:tab w:val="clear" w:pos="4320"/>
        <w:tab w:val="clear" w:pos="8640"/>
      </w:tabs>
      <w:spacing w:after="240"/>
      <w:jc w:val="center"/>
      <w:rPr>
        <w:b/>
        <w:sz w:val="22"/>
      </w:rPr>
    </w:pPr>
    <w:r>
      <w:rPr>
        <w:rStyle w:val="PageNumber"/>
        <w:b/>
        <w:sz w:val="22"/>
      </w:rPr>
      <w:t xml:space="preserve">F.  </w:t>
    </w:r>
    <w:r w:rsidRPr="002D7026">
      <w:rPr>
        <w:rStyle w:val="PageNumber"/>
        <w:b/>
        <w:sz w:val="22"/>
      </w:rPr>
      <w:t xml:space="preserve">Circuit </w:t>
    </w:r>
    <w:r w:rsidRPr="001A0342">
      <w:rPr>
        <w:rStyle w:val="PageNumber"/>
        <w:b/>
        <w:sz w:val="22"/>
      </w:rPr>
      <w:t xml:space="preserve">breakers (EU No. </w:t>
    </w:r>
    <w:r w:rsidR="001D1F12">
      <w:rPr>
        <w:rStyle w:val="PageNumber"/>
        <w:b/>
        <w:sz w:val="22"/>
      </w:rPr>
      <w:t>006</w:t>
    </w:r>
    <w:r w:rsidRPr="001A0342">
      <w:rPr>
        <w:rStyle w:val="PageNumber"/>
        <w:b/>
        <w:sz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73" w:rsidRDefault="00B519E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233714" o:spid="_x0000_s2086" type="#_x0000_t136" style="position:absolute;margin-left:0;margin-top:0;width:509.4pt;height:191pt;rotation:315;z-index:-251618304;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73" w:rsidRDefault="00B519E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233741" o:spid="_x0000_s2113" type="#_x0000_t136" style="position:absolute;margin-left:0;margin-top:0;width:509.4pt;height:191pt;rotation:315;z-index:-251563008;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73" w:rsidRDefault="00B519E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233718" o:spid="_x0000_s2090" type="#_x0000_t136" style="position:absolute;margin-left:0;margin-top:0;width:509.4pt;height:191pt;rotation:315;z-index:-251610112;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73" w:rsidRDefault="00B519E0">
    <w:pPr>
      <w:pStyle w:val="Header"/>
      <w:pBdr>
        <w:bottom w:val="single" w:sz="6" w:space="1" w:color="auto"/>
      </w:pBdr>
      <w:tabs>
        <w:tab w:val="clear" w:pos="4320"/>
        <w:tab w:val="clear" w:pos="8640"/>
      </w:tabs>
      <w:spacing w:after="240"/>
      <w:jc w:val="center"/>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233719" o:spid="_x0000_s2091" type="#_x0000_t136" style="position:absolute;left:0;text-align:left;margin-left:0;margin-top:0;width:509.4pt;height:191pt;rotation:315;z-index:-251608064;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sidR="00AA4D73" w:rsidRPr="00E461C7">
      <w:rPr>
        <w:b/>
        <w:sz w:val="22"/>
        <w:highlight w:val="yellow"/>
      </w:rPr>
      <w:t>DRAFT</w:t>
    </w:r>
    <w:r w:rsidR="00AA4D73">
      <w:rPr>
        <w:b/>
        <w:sz w:val="22"/>
      </w:rPr>
      <w:t xml:space="preserve"> PERMIT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73" w:rsidRDefault="00B519E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233717" o:spid="_x0000_s2089" type="#_x0000_t136" style="position:absolute;margin-left:0;margin-top:0;width:509.4pt;height:191pt;rotation:315;z-index:-251612160;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73" w:rsidRDefault="00B519E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233721" o:spid="_x0000_s2093" type="#_x0000_t136" style="position:absolute;margin-left:0;margin-top:0;width:509.4pt;height:191pt;rotation:315;z-index:-251603968;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73" w:rsidRDefault="00B519E0" w:rsidP="009A17D4">
    <w:pPr>
      <w:pStyle w:val="Header"/>
      <w:pBdr>
        <w:bottom w:val="single" w:sz="6" w:space="1" w:color="auto"/>
      </w:pBdr>
      <w:tabs>
        <w:tab w:val="clear" w:pos="4320"/>
        <w:tab w:val="clear" w:pos="8640"/>
      </w:tabs>
      <w:spacing w:after="200"/>
      <w:jc w:val="center"/>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233722" o:spid="_x0000_s2094" type="#_x0000_t136" style="position:absolute;left:0;text-align:left;margin-left:0;margin-top:0;width:509.4pt;height:191pt;rotation:315;z-index:-251601920;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r w:rsidR="00AA4D73">
      <w:rPr>
        <w:b/>
        <w:sz w:val="22"/>
      </w:rPr>
      <w:t xml:space="preserve">SECTION 1.  GENERAL INFORMATION </w:t>
    </w:r>
    <w:r w:rsidR="00AA4D73" w:rsidRPr="00E461C7">
      <w:rPr>
        <w:b/>
        <w:sz w:val="22"/>
        <w:highlight w:val="yellow"/>
      </w:rPr>
      <w:t>(DRAFT)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4D73" w:rsidRDefault="00B519E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0233720" o:spid="_x0000_s2092" type="#_x0000_t136" style="position:absolute;margin-left:0;margin-top:0;width:509.4pt;height:191pt;rotation:315;z-index:-251606016;mso-position-horizontal:center;mso-position-horizontal-relative:margin;mso-position-vertical:center;mso-position-vertical-relative:margin" o:allowincell="f" fillcolor="#95b3d7 [1940]"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4C36520"/>
    <w:multiLevelType w:val="hybridMultilevel"/>
    <w:tmpl w:val="B958EAD6"/>
    <w:lvl w:ilvl="0" w:tplc="2E446936">
      <w:start w:val="12"/>
      <w:numFmt w:val="bullet"/>
      <w:lvlText w:val="-"/>
      <w:lvlJc w:val="left"/>
      <w:pPr>
        <w:ind w:left="620" w:hanging="360"/>
      </w:pPr>
      <w:rPr>
        <w:rFonts w:ascii="Times New Roman" w:eastAsia="Times New Roman" w:hAnsi="Times New Roman" w:cs="Times New Roman" w:hint="default"/>
        <w:strike w:val="0"/>
        <w:dstrike w:val="0"/>
        <w:u w:val="none"/>
        <w:effect w:val="none"/>
      </w:rPr>
    </w:lvl>
    <w:lvl w:ilvl="1" w:tplc="04090003">
      <w:start w:val="1"/>
      <w:numFmt w:val="bullet"/>
      <w:lvlText w:val="o"/>
      <w:lvlJc w:val="left"/>
      <w:pPr>
        <w:ind w:left="1340" w:hanging="360"/>
      </w:pPr>
      <w:rPr>
        <w:rFonts w:ascii="Courier New" w:hAnsi="Courier New" w:cs="Courier New" w:hint="default"/>
      </w:rPr>
    </w:lvl>
    <w:lvl w:ilvl="2" w:tplc="04090005">
      <w:start w:val="1"/>
      <w:numFmt w:val="bullet"/>
      <w:lvlText w:val=""/>
      <w:lvlJc w:val="left"/>
      <w:pPr>
        <w:ind w:left="2060" w:hanging="360"/>
      </w:pPr>
      <w:rPr>
        <w:rFonts w:ascii="Wingdings" w:hAnsi="Wingdings" w:hint="default"/>
      </w:rPr>
    </w:lvl>
    <w:lvl w:ilvl="3" w:tplc="04090001">
      <w:start w:val="1"/>
      <w:numFmt w:val="bullet"/>
      <w:lvlText w:val=""/>
      <w:lvlJc w:val="left"/>
      <w:pPr>
        <w:ind w:left="2780" w:hanging="360"/>
      </w:pPr>
      <w:rPr>
        <w:rFonts w:ascii="Symbol" w:hAnsi="Symbol" w:hint="default"/>
      </w:rPr>
    </w:lvl>
    <w:lvl w:ilvl="4" w:tplc="04090003">
      <w:start w:val="1"/>
      <w:numFmt w:val="bullet"/>
      <w:lvlText w:val="o"/>
      <w:lvlJc w:val="left"/>
      <w:pPr>
        <w:ind w:left="3500" w:hanging="360"/>
      </w:pPr>
      <w:rPr>
        <w:rFonts w:ascii="Courier New" w:hAnsi="Courier New" w:cs="Courier New" w:hint="default"/>
      </w:rPr>
    </w:lvl>
    <w:lvl w:ilvl="5" w:tplc="04090005">
      <w:start w:val="1"/>
      <w:numFmt w:val="bullet"/>
      <w:lvlText w:val=""/>
      <w:lvlJc w:val="left"/>
      <w:pPr>
        <w:ind w:left="4220" w:hanging="360"/>
      </w:pPr>
      <w:rPr>
        <w:rFonts w:ascii="Wingdings" w:hAnsi="Wingdings" w:hint="default"/>
      </w:rPr>
    </w:lvl>
    <w:lvl w:ilvl="6" w:tplc="04090001">
      <w:start w:val="1"/>
      <w:numFmt w:val="bullet"/>
      <w:lvlText w:val=""/>
      <w:lvlJc w:val="left"/>
      <w:pPr>
        <w:ind w:left="4940" w:hanging="360"/>
      </w:pPr>
      <w:rPr>
        <w:rFonts w:ascii="Symbol" w:hAnsi="Symbol" w:hint="default"/>
      </w:rPr>
    </w:lvl>
    <w:lvl w:ilvl="7" w:tplc="04090003">
      <w:start w:val="1"/>
      <w:numFmt w:val="bullet"/>
      <w:lvlText w:val="o"/>
      <w:lvlJc w:val="left"/>
      <w:pPr>
        <w:ind w:left="5660" w:hanging="360"/>
      </w:pPr>
      <w:rPr>
        <w:rFonts w:ascii="Courier New" w:hAnsi="Courier New" w:cs="Courier New" w:hint="default"/>
      </w:rPr>
    </w:lvl>
    <w:lvl w:ilvl="8" w:tplc="04090005">
      <w:start w:val="1"/>
      <w:numFmt w:val="bullet"/>
      <w:lvlText w:val=""/>
      <w:lvlJc w:val="left"/>
      <w:pPr>
        <w:ind w:left="6380" w:hanging="360"/>
      </w:pPr>
      <w:rPr>
        <w:rFonts w:ascii="Wingdings" w:hAnsi="Wingdings" w:hint="default"/>
      </w:rPr>
    </w:lvl>
  </w:abstractNum>
  <w:abstractNum w:abstractNumId="2"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CD1631"/>
    <w:multiLevelType w:val="singleLevel"/>
    <w:tmpl w:val="95BCCBAC"/>
    <w:lvl w:ilvl="0">
      <w:start w:val="1"/>
      <w:numFmt w:val="decimal"/>
      <w:lvlText w:val="(%1)"/>
      <w:legacy w:legacy="1" w:legacySpace="0" w:legacyIndent="720"/>
      <w:lvlJc w:val="left"/>
      <w:pPr>
        <w:ind w:left="720" w:hanging="720"/>
      </w:pPr>
    </w:lvl>
  </w:abstractNum>
  <w:abstractNum w:abstractNumId="4" w15:restartNumberingAfterBreak="0">
    <w:nsid w:val="10030032"/>
    <w:multiLevelType w:val="singleLevel"/>
    <w:tmpl w:val="8FAAE0BA"/>
    <w:lvl w:ilvl="0">
      <w:start w:val="1"/>
      <w:numFmt w:val="lowerLetter"/>
      <w:lvlText w:val="%1."/>
      <w:lvlJc w:val="left"/>
      <w:pPr>
        <w:tabs>
          <w:tab w:val="num" w:pos="360"/>
        </w:tabs>
        <w:ind w:left="360" w:hanging="360"/>
      </w:pPr>
      <w:rPr>
        <w:rFonts w:cs="Times New Roman"/>
      </w:rPr>
    </w:lvl>
  </w:abstractNum>
  <w:abstractNum w:abstractNumId="5" w15:restartNumberingAfterBreak="0">
    <w:nsid w:val="10427145"/>
    <w:multiLevelType w:val="hybridMultilevel"/>
    <w:tmpl w:val="8AF6A852"/>
    <w:lvl w:ilvl="0" w:tplc="D706AE86">
      <w:start w:val="1"/>
      <w:numFmt w:val="lowerLetter"/>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4A1533"/>
    <w:multiLevelType w:val="hybridMultilevel"/>
    <w:tmpl w:val="8AF6A852"/>
    <w:lvl w:ilvl="0" w:tplc="D706AE86">
      <w:start w:val="1"/>
      <w:numFmt w:val="lowerLetter"/>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4654A0"/>
    <w:multiLevelType w:val="hybridMultilevel"/>
    <w:tmpl w:val="1D7C69E0"/>
    <w:lvl w:ilvl="0" w:tplc="118CAD6E">
      <w:start w:val="1"/>
      <w:numFmt w:val="decimal"/>
      <w:lvlText w:val="%1."/>
      <w:lvlJc w:val="left"/>
      <w:pPr>
        <w:tabs>
          <w:tab w:val="num" w:pos="1080"/>
        </w:tabs>
        <w:ind w:left="1080" w:hanging="360"/>
      </w:pPr>
      <w:rPr>
        <w:b w:val="0"/>
      </w:rPr>
    </w:lvl>
    <w:lvl w:ilvl="1" w:tplc="48CE62EA">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1E7B19CF"/>
    <w:multiLevelType w:val="hybridMultilevel"/>
    <w:tmpl w:val="C94AD356"/>
    <w:lvl w:ilvl="0" w:tplc="43A43BE6">
      <w:start w:val="1"/>
      <w:numFmt w:val="lowerLetter"/>
      <w:lvlText w:val="%1."/>
      <w:lvlJc w:val="left"/>
      <w:pPr>
        <w:tabs>
          <w:tab w:val="num" w:pos="720"/>
        </w:tabs>
        <w:ind w:left="720" w:hanging="360"/>
      </w:pPr>
      <w:rPr>
        <w:rFonts w:cs="Times New Roman"/>
        <w:strike w:val="0"/>
        <w:dstrike w:val="0"/>
        <w:u w:val="none"/>
        <w:effect w:val="none"/>
      </w:rPr>
    </w:lvl>
    <w:lvl w:ilvl="1" w:tplc="95BCCBAC">
      <w:start w:val="1"/>
      <w:numFmt w:val="decimal"/>
      <w:lvlText w:val="(%2)"/>
      <w:lvlJc w:val="left"/>
      <w:pPr>
        <w:tabs>
          <w:tab w:val="num" w:pos="1440"/>
        </w:tabs>
        <w:ind w:left="1440" w:hanging="360"/>
      </w:pPr>
      <w:rPr>
        <w:b w:val="0"/>
        <w:i w:val="0"/>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1FD42F14"/>
    <w:multiLevelType w:val="hybridMultilevel"/>
    <w:tmpl w:val="9E8CEF22"/>
    <w:lvl w:ilvl="0" w:tplc="4C9426F4">
      <w:start w:val="1"/>
      <w:numFmt w:val="lowerLetter"/>
      <w:lvlText w:val="%1."/>
      <w:lvlJc w:val="left"/>
      <w:pPr>
        <w:tabs>
          <w:tab w:val="num" w:pos="2700"/>
        </w:tabs>
        <w:ind w:left="270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C3B0A"/>
    <w:multiLevelType w:val="hybridMultilevel"/>
    <w:tmpl w:val="E20A4F14"/>
    <w:lvl w:ilvl="0" w:tplc="3AAC419A">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26303FBA"/>
    <w:multiLevelType w:val="hybridMultilevel"/>
    <w:tmpl w:val="1E483A60"/>
    <w:lvl w:ilvl="0" w:tplc="83105B26">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268455D2"/>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883A20"/>
    <w:multiLevelType w:val="hybridMultilevel"/>
    <w:tmpl w:val="E6D4E6B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9282C33"/>
    <w:multiLevelType w:val="hybridMultilevel"/>
    <w:tmpl w:val="C73AB0CE"/>
    <w:lvl w:ilvl="0" w:tplc="830AA280">
      <w:start w:val="1"/>
      <w:numFmt w:val="decimal"/>
      <w:lvlText w:val="%1."/>
      <w:lvlJc w:val="left"/>
      <w:pPr>
        <w:tabs>
          <w:tab w:val="num" w:pos="720"/>
        </w:tabs>
        <w:ind w:left="720" w:hanging="360"/>
      </w:pPr>
      <w:rPr>
        <w:rFonts w:cs="Times New Roman"/>
        <w:b w:val="0"/>
        <w:i w:val="0"/>
      </w:rPr>
    </w:lvl>
    <w:lvl w:ilvl="1" w:tplc="86E2268A">
      <w:start w:val="1"/>
      <w:numFmt w:val="lowerLetter"/>
      <w:lvlText w:val="%2."/>
      <w:lvlJc w:val="left"/>
      <w:pPr>
        <w:tabs>
          <w:tab w:val="num" w:pos="1800"/>
        </w:tabs>
        <w:ind w:left="1800" w:hanging="360"/>
      </w:pPr>
      <w:rPr>
        <w:rFonts w:cs="Times New Roman"/>
        <w:strike w:val="0"/>
        <w:dstrike w:val="0"/>
        <w:u w:val="none"/>
        <w:effect w:val="none"/>
      </w:rPr>
    </w:lvl>
    <w:lvl w:ilvl="2" w:tplc="95BCCBAC">
      <w:start w:val="1"/>
      <w:numFmt w:val="decimal"/>
      <w:lvlText w:val="(%3)"/>
      <w:lvlJc w:val="left"/>
      <w:pPr>
        <w:tabs>
          <w:tab w:val="num" w:pos="2700"/>
        </w:tabs>
        <w:ind w:left="2700" w:hanging="360"/>
      </w:pPr>
    </w:lvl>
    <w:lvl w:ilvl="3" w:tplc="3290100E">
      <w:start w:val="1"/>
      <w:numFmt w:val="decimal"/>
      <w:lvlText w:val="(%4)"/>
      <w:lvlJc w:val="left"/>
      <w:pPr>
        <w:ind w:left="3240" w:hanging="360"/>
      </w:p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6" w15:restartNumberingAfterBreak="0">
    <w:nsid w:val="29350723"/>
    <w:multiLevelType w:val="hybridMultilevel"/>
    <w:tmpl w:val="DA6ABF3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2B2E3A6B"/>
    <w:multiLevelType w:val="hybridMultilevel"/>
    <w:tmpl w:val="6352AF28"/>
    <w:lvl w:ilvl="0" w:tplc="4888E38E">
      <w:start w:val="1"/>
      <w:numFmt w:val="decimal"/>
      <w:lvlText w:val="%1."/>
      <w:lvlJc w:val="left"/>
      <w:pPr>
        <w:ind w:left="720" w:hanging="360"/>
      </w:pPr>
      <w:rPr>
        <w:sz w:val="18"/>
        <w:szCs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F8A7E41"/>
    <w:multiLevelType w:val="hybridMultilevel"/>
    <w:tmpl w:val="D3006290"/>
    <w:lvl w:ilvl="0" w:tplc="86E2268A">
      <w:start w:val="1"/>
      <w:numFmt w:val="lowerLetter"/>
      <w:lvlText w:val="%1."/>
      <w:lvlJc w:val="left"/>
      <w:pPr>
        <w:tabs>
          <w:tab w:val="num" w:pos="720"/>
        </w:tabs>
        <w:ind w:left="720" w:hanging="360"/>
      </w:pPr>
      <w:rPr>
        <w:rFonts w:cs="Times New Roman"/>
        <w:strike w:val="0"/>
        <w:dstrike w:val="0"/>
        <w:u w:val="none"/>
        <w:effect w:val="none"/>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9" w15:restartNumberingAfterBreak="0">
    <w:nsid w:val="365D5C17"/>
    <w:multiLevelType w:val="hybridMultilevel"/>
    <w:tmpl w:val="D5468128"/>
    <w:lvl w:ilvl="0" w:tplc="410CB708">
      <w:start w:val="1"/>
      <w:numFmt w:val="decimal"/>
      <w:lvlText w:val="%1."/>
      <w:lvlJc w:val="left"/>
      <w:pPr>
        <w:tabs>
          <w:tab w:val="num" w:pos="360"/>
        </w:tabs>
        <w:ind w:left="360" w:hanging="360"/>
      </w:pPr>
      <w:rPr>
        <w:sz w:val="22"/>
      </w:r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20" w15:restartNumberingAfterBreak="0">
    <w:nsid w:val="3B032BF1"/>
    <w:multiLevelType w:val="singleLevel"/>
    <w:tmpl w:val="95BCCBAC"/>
    <w:lvl w:ilvl="0">
      <w:start w:val="1"/>
      <w:numFmt w:val="decimal"/>
      <w:lvlText w:val="(%1)"/>
      <w:legacy w:legacy="1" w:legacySpace="0" w:legacyIndent="720"/>
      <w:lvlJc w:val="left"/>
      <w:pPr>
        <w:ind w:left="720" w:hanging="720"/>
      </w:pPr>
    </w:lvl>
  </w:abstractNum>
  <w:abstractNum w:abstractNumId="21" w15:restartNumberingAfterBreak="0">
    <w:nsid w:val="3BA27005"/>
    <w:multiLevelType w:val="singleLevel"/>
    <w:tmpl w:val="6EA8AAF6"/>
    <w:lvl w:ilvl="0">
      <w:start w:val="1"/>
      <w:numFmt w:val="decimal"/>
      <w:lvlText w:val="%1."/>
      <w:lvlJc w:val="left"/>
      <w:pPr>
        <w:tabs>
          <w:tab w:val="num" w:pos="360"/>
        </w:tabs>
        <w:ind w:left="360" w:hanging="360"/>
      </w:pPr>
      <w:rPr>
        <w:rFonts w:hint="default"/>
      </w:rPr>
    </w:lvl>
  </w:abstractNum>
  <w:abstractNum w:abstractNumId="22" w15:restartNumberingAfterBreak="0">
    <w:nsid w:val="3FB016F3"/>
    <w:multiLevelType w:val="hybridMultilevel"/>
    <w:tmpl w:val="BBD6983E"/>
    <w:lvl w:ilvl="0" w:tplc="71C8811E">
      <w:start w:val="1"/>
      <w:numFmt w:val="decimal"/>
      <w:lvlText w:val="%1."/>
      <w:lvlJc w:val="left"/>
      <w:pPr>
        <w:tabs>
          <w:tab w:val="num" w:pos="1080"/>
        </w:tabs>
        <w:ind w:left="1080" w:hanging="360"/>
      </w:pPr>
    </w:lvl>
    <w:lvl w:ilvl="1" w:tplc="48CE62EA">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00E2B4F"/>
    <w:multiLevelType w:val="hybridMultilevel"/>
    <w:tmpl w:val="8B84F35E"/>
    <w:lvl w:ilvl="0" w:tplc="8EFE134A">
      <w:start w:val="1"/>
      <w:numFmt w:val="decimal"/>
      <w:lvlText w:val="H.%1."/>
      <w:lvlJc w:val="left"/>
      <w:pPr>
        <w:tabs>
          <w:tab w:val="num" w:pos="360"/>
        </w:tabs>
        <w:ind w:left="360" w:hanging="360"/>
      </w:pPr>
      <w:rPr>
        <w:rFonts w:ascii="Times New Roman" w:hAnsi="Times New Roman" w:cs="Times New Roman" w:hint="default"/>
        <w:b/>
        <w:i w:val="0"/>
        <w:strike w:val="0"/>
        <w:dstrike w:val="0"/>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6F0315E"/>
    <w:multiLevelType w:val="singleLevel"/>
    <w:tmpl w:val="FDAC5272"/>
    <w:lvl w:ilvl="0">
      <w:start w:val="1"/>
      <w:numFmt w:val="decimal"/>
      <w:lvlText w:val="%1."/>
      <w:lvlJc w:val="left"/>
      <w:pPr>
        <w:tabs>
          <w:tab w:val="num" w:pos="360"/>
        </w:tabs>
        <w:ind w:left="360" w:hanging="360"/>
      </w:pPr>
    </w:lvl>
  </w:abstractNum>
  <w:abstractNum w:abstractNumId="25" w15:restartNumberingAfterBreak="0">
    <w:nsid w:val="477C2FD7"/>
    <w:multiLevelType w:val="hybridMultilevel"/>
    <w:tmpl w:val="AC526BA8"/>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8955BF"/>
    <w:multiLevelType w:val="hybridMultilevel"/>
    <w:tmpl w:val="6352AF28"/>
    <w:lvl w:ilvl="0" w:tplc="4888E38E">
      <w:start w:val="1"/>
      <w:numFmt w:val="decimal"/>
      <w:lvlText w:val="%1."/>
      <w:lvlJc w:val="left"/>
      <w:pPr>
        <w:ind w:left="720" w:hanging="360"/>
      </w:pPr>
      <w:rPr>
        <w:sz w:val="18"/>
        <w:szCs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2443DC8"/>
    <w:multiLevelType w:val="hybridMultilevel"/>
    <w:tmpl w:val="35EAE46A"/>
    <w:lvl w:ilvl="0" w:tplc="9FC6D630">
      <w:start w:val="22"/>
      <w:numFmt w:val="decimal"/>
      <w:lvlText w:val="%1."/>
      <w:lvlJc w:val="left"/>
      <w:pPr>
        <w:tabs>
          <w:tab w:val="num" w:pos="360"/>
        </w:tabs>
        <w:ind w:left="360" w:hanging="360"/>
      </w:pPr>
      <w:rPr>
        <w:rFonts w:cs="Times New Roman"/>
        <w:b w:val="0"/>
        <w:i w:val="0"/>
      </w:rPr>
    </w:lvl>
    <w:lvl w:ilvl="1" w:tplc="04090019">
      <w:start w:val="1"/>
      <w:numFmt w:val="lowerLetter"/>
      <w:lvlText w:val="%2."/>
      <w:lvlJc w:val="left"/>
      <w:pPr>
        <w:ind w:left="72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F802BC"/>
    <w:multiLevelType w:val="singleLevel"/>
    <w:tmpl w:val="FDAC5272"/>
    <w:lvl w:ilvl="0">
      <w:start w:val="1"/>
      <w:numFmt w:val="decimal"/>
      <w:lvlText w:val="%1."/>
      <w:lvlJc w:val="left"/>
      <w:pPr>
        <w:tabs>
          <w:tab w:val="num" w:pos="360"/>
        </w:tabs>
        <w:ind w:left="360" w:hanging="360"/>
      </w:pPr>
    </w:lvl>
  </w:abstractNum>
  <w:abstractNum w:abstractNumId="29" w15:restartNumberingAfterBreak="0">
    <w:nsid w:val="56E84E82"/>
    <w:multiLevelType w:val="hybridMultilevel"/>
    <w:tmpl w:val="95C894CE"/>
    <w:lvl w:ilvl="0" w:tplc="3AAC419A">
      <w:start w:val="1"/>
      <w:numFmt w:val="lowerLetter"/>
      <w:lvlText w:val="%1."/>
      <w:lvlJc w:val="left"/>
      <w:pPr>
        <w:tabs>
          <w:tab w:val="num" w:pos="1080"/>
        </w:tabs>
        <w:ind w:left="1080" w:hanging="360"/>
      </w:pPr>
      <w:rPr>
        <w:rFonts w:cs="Times New Roman"/>
      </w:rPr>
    </w:lvl>
    <w:lvl w:ilvl="1" w:tplc="04090019">
      <w:start w:val="1"/>
      <w:numFmt w:val="lowerLetter"/>
      <w:lvlText w:val="%2."/>
      <w:lvlJc w:val="left"/>
      <w:pPr>
        <w:tabs>
          <w:tab w:val="num" w:pos="1800"/>
        </w:tabs>
        <w:ind w:left="1800" w:hanging="360"/>
      </w:pPr>
      <w:rPr>
        <w:rFonts w:cs="Times New Roman"/>
      </w:rPr>
    </w:lvl>
    <w:lvl w:ilvl="2" w:tplc="4C9426F4">
      <w:start w:val="1"/>
      <w:numFmt w:val="lowerLetter"/>
      <w:lvlText w:val="%3."/>
      <w:lvlJc w:val="left"/>
      <w:pPr>
        <w:tabs>
          <w:tab w:val="num" w:pos="2700"/>
        </w:tabs>
        <w:ind w:left="2700" w:hanging="36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0" w15:restartNumberingAfterBreak="0">
    <w:nsid w:val="57FD441E"/>
    <w:multiLevelType w:val="hybridMultilevel"/>
    <w:tmpl w:val="5D9ED9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33678F"/>
    <w:multiLevelType w:val="hybridMultilevel"/>
    <w:tmpl w:val="B6BAAF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9B0D44"/>
    <w:multiLevelType w:val="hybridMultilevel"/>
    <w:tmpl w:val="5D9ED9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6575FA"/>
    <w:multiLevelType w:val="hybridMultilevel"/>
    <w:tmpl w:val="20129306"/>
    <w:lvl w:ilvl="0" w:tplc="3B10548E">
      <w:start w:val="1"/>
      <w:numFmt w:val="decimal"/>
      <w:lvlText w:val="C.%1."/>
      <w:lvlJc w:val="left"/>
      <w:pPr>
        <w:tabs>
          <w:tab w:val="num" w:pos="1080"/>
        </w:tabs>
        <w:ind w:left="1080" w:hanging="720"/>
      </w:pPr>
      <w:rPr>
        <w:rFonts w:ascii="Times New Roman" w:hAnsi="Times New Roman" w:cs="Times New Roman" w:hint="default"/>
        <w:b/>
        <w:i w:val="0"/>
        <w:strike w:val="0"/>
        <w:dstrike w:val="0"/>
        <w:sz w:val="22"/>
        <w:szCs w:val="22"/>
        <w:u w:val="none"/>
        <w:effect w:val="none"/>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15:restartNumberingAfterBreak="0">
    <w:nsid w:val="6D8F47CE"/>
    <w:multiLevelType w:val="hybridMultilevel"/>
    <w:tmpl w:val="BCFA506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72BE2F63"/>
    <w:multiLevelType w:val="hybridMultilevel"/>
    <w:tmpl w:val="5B22B5F0"/>
    <w:lvl w:ilvl="0" w:tplc="3AAC419A">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6" w15:restartNumberingAfterBreak="0">
    <w:nsid w:val="77943974"/>
    <w:multiLevelType w:val="hybridMultilevel"/>
    <w:tmpl w:val="B6BAAF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BB2BE0"/>
    <w:multiLevelType w:val="hybridMultilevel"/>
    <w:tmpl w:val="EAD0C994"/>
    <w:lvl w:ilvl="0" w:tplc="7916BA8A">
      <w:start w:val="1"/>
      <w:numFmt w:val="lowerLetter"/>
      <w:lvlText w:val="%1."/>
      <w:lvlJc w:val="left"/>
      <w:pPr>
        <w:tabs>
          <w:tab w:val="num" w:pos="720"/>
        </w:tabs>
        <w:ind w:left="720" w:hanging="360"/>
      </w:pPr>
      <w:rPr>
        <w:rFonts w:ascii="Times New Roman" w:hAnsi="Times New Roman" w:cs="Times New Roman" w:hint="default"/>
        <w:sz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D2D695F"/>
    <w:multiLevelType w:val="hybridMultilevel"/>
    <w:tmpl w:val="0BC26068"/>
    <w:lvl w:ilvl="0" w:tplc="369A402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8"/>
  </w:num>
  <w:num w:numId="3">
    <w:abstractNumId w:val="20"/>
  </w:num>
  <w:num w:numId="4">
    <w:abstractNumId w:val="3"/>
  </w:num>
  <w:num w:numId="5">
    <w:abstractNumId w:val="21"/>
  </w:num>
  <w:num w:numId="6">
    <w:abstractNumId w:val="24"/>
  </w:num>
  <w:num w:numId="7">
    <w:abstractNumId w:val="32"/>
  </w:num>
  <w:num w:numId="8">
    <w:abstractNumId w:val="13"/>
  </w:num>
  <w:num w:numId="9">
    <w:abstractNumId w:val="25"/>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lvlOverride w:ilvl="2"/>
    <w:lvlOverride w:ilvl="3"/>
    <w:lvlOverride w:ilvl="4"/>
    <w:lvlOverride w:ilvl="5"/>
    <w:lvlOverride w:ilvl="6"/>
    <w:lvlOverride w:ilvl="7"/>
    <w:lvlOverride w:ilv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8"/>
  </w:num>
  <w:num w:numId="26">
    <w:abstractNumId w:val="18"/>
  </w:num>
  <w:num w:numId="27">
    <w:abstractNumId w:val="36"/>
  </w:num>
  <w:num w:numId="28">
    <w:abstractNumId w:val="31"/>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5"/>
  </w:num>
  <w:num w:numId="39">
    <w:abstractNumId w:val="38"/>
  </w:num>
  <w:num w:numId="40">
    <w:abstractNumId w:val="6"/>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11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602"/>
    <w:rsid w:val="00002A55"/>
    <w:rsid w:val="00003C9E"/>
    <w:rsid w:val="00003FAC"/>
    <w:rsid w:val="00003FD5"/>
    <w:rsid w:val="00005976"/>
    <w:rsid w:val="00005AE8"/>
    <w:rsid w:val="00006A57"/>
    <w:rsid w:val="000072B0"/>
    <w:rsid w:val="0001029A"/>
    <w:rsid w:val="000105DF"/>
    <w:rsid w:val="00011947"/>
    <w:rsid w:val="00011D9B"/>
    <w:rsid w:val="00012FCD"/>
    <w:rsid w:val="000147AB"/>
    <w:rsid w:val="00015819"/>
    <w:rsid w:val="00020A8F"/>
    <w:rsid w:val="000225C9"/>
    <w:rsid w:val="00025DCB"/>
    <w:rsid w:val="0002700D"/>
    <w:rsid w:val="000273B7"/>
    <w:rsid w:val="00030325"/>
    <w:rsid w:val="00032692"/>
    <w:rsid w:val="00032E0E"/>
    <w:rsid w:val="00033A42"/>
    <w:rsid w:val="000341B7"/>
    <w:rsid w:val="00037022"/>
    <w:rsid w:val="00043049"/>
    <w:rsid w:val="00044F87"/>
    <w:rsid w:val="00054691"/>
    <w:rsid w:val="0005601D"/>
    <w:rsid w:val="00056DE0"/>
    <w:rsid w:val="0005703E"/>
    <w:rsid w:val="000600B0"/>
    <w:rsid w:val="00060F74"/>
    <w:rsid w:val="00063C44"/>
    <w:rsid w:val="00064F6E"/>
    <w:rsid w:val="00066170"/>
    <w:rsid w:val="00066283"/>
    <w:rsid w:val="00067FB6"/>
    <w:rsid w:val="000708AE"/>
    <w:rsid w:val="00073630"/>
    <w:rsid w:val="000739C6"/>
    <w:rsid w:val="00073ACC"/>
    <w:rsid w:val="00074ECA"/>
    <w:rsid w:val="00077AEC"/>
    <w:rsid w:val="0008351C"/>
    <w:rsid w:val="00086599"/>
    <w:rsid w:val="00087417"/>
    <w:rsid w:val="00087E46"/>
    <w:rsid w:val="000910D6"/>
    <w:rsid w:val="00092C34"/>
    <w:rsid w:val="00092F42"/>
    <w:rsid w:val="00095B56"/>
    <w:rsid w:val="00095E06"/>
    <w:rsid w:val="00096B05"/>
    <w:rsid w:val="00097217"/>
    <w:rsid w:val="000972E8"/>
    <w:rsid w:val="00097AF9"/>
    <w:rsid w:val="000A027A"/>
    <w:rsid w:val="000A4ADC"/>
    <w:rsid w:val="000A4B93"/>
    <w:rsid w:val="000A5A32"/>
    <w:rsid w:val="000A604E"/>
    <w:rsid w:val="000B0A0D"/>
    <w:rsid w:val="000B2A67"/>
    <w:rsid w:val="000B3DF2"/>
    <w:rsid w:val="000C2EE4"/>
    <w:rsid w:val="000D011F"/>
    <w:rsid w:val="000D2220"/>
    <w:rsid w:val="000D2DD2"/>
    <w:rsid w:val="000D4B46"/>
    <w:rsid w:val="000D4CC3"/>
    <w:rsid w:val="000D4DC2"/>
    <w:rsid w:val="000D5F21"/>
    <w:rsid w:val="000E1078"/>
    <w:rsid w:val="000E1481"/>
    <w:rsid w:val="000E16CE"/>
    <w:rsid w:val="000E3524"/>
    <w:rsid w:val="000E36B8"/>
    <w:rsid w:val="000E75A9"/>
    <w:rsid w:val="000F397B"/>
    <w:rsid w:val="000F74C5"/>
    <w:rsid w:val="00100121"/>
    <w:rsid w:val="00101CF1"/>
    <w:rsid w:val="00102472"/>
    <w:rsid w:val="001034A2"/>
    <w:rsid w:val="001054D5"/>
    <w:rsid w:val="00107003"/>
    <w:rsid w:val="00110445"/>
    <w:rsid w:val="001107FB"/>
    <w:rsid w:val="00111EAD"/>
    <w:rsid w:val="001123CD"/>
    <w:rsid w:val="001126D9"/>
    <w:rsid w:val="001139CC"/>
    <w:rsid w:val="00117005"/>
    <w:rsid w:val="001179AF"/>
    <w:rsid w:val="00120D2A"/>
    <w:rsid w:val="00123F6A"/>
    <w:rsid w:val="001240B1"/>
    <w:rsid w:val="00124ECF"/>
    <w:rsid w:val="00125426"/>
    <w:rsid w:val="0012609A"/>
    <w:rsid w:val="00131F2A"/>
    <w:rsid w:val="00133894"/>
    <w:rsid w:val="001346C2"/>
    <w:rsid w:val="00135D28"/>
    <w:rsid w:val="00136AF9"/>
    <w:rsid w:val="0014056E"/>
    <w:rsid w:val="00141F42"/>
    <w:rsid w:val="00142E9D"/>
    <w:rsid w:val="001445BA"/>
    <w:rsid w:val="001476F8"/>
    <w:rsid w:val="00151D4A"/>
    <w:rsid w:val="00153674"/>
    <w:rsid w:val="00154635"/>
    <w:rsid w:val="00154709"/>
    <w:rsid w:val="00155B9B"/>
    <w:rsid w:val="00155CB1"/>
    <w:rsid w:val="001560BE"/>
    <w:rsid w:val="00156821"/>
    <w:rsid w:val="00157525"/>
    <w:rsid w:val="00157EA9"/>
    <w:rsid w:val="00160BDE"/>
    <w:rsid w:val="00161C1A"/>
    <w:rsid w:val="001717A8"/>
    <w:rsid w:val="00172DA5"/>
    <w:rsid w:val="00173B3E"/>
    <w:rsid w:val="00174DA1"/>
    <w:rsid w:val="00175112"/>
    <w:rsid w:val="00175276"/>
    <w:rsid w:val="00175484"/>
    <w:rsid w:val="0017609E"/>
    <w:rsid w:val="00176C0D"/>
    <w:rsid w:val="00180A38"/>
    <w:rsid w:val="00183936"/>
    <w:rsid w:val="0018449C"/>
    <w:rsid w:val="001844EC"/>
    <w:rsid w:val="00184678"/>
    <w:rsid w:val="00191E4A"/>
    <w:rsid w:val="001927E1"/>
    <w:rsid w:val="001948DC"/>
    <w:rsid w:val="0019638B"/>
    <w:rsid w:val="00196A65"/>
    <w:rsid w:val="001A1A7A"/>
    <w:rsid w:val="001A57AE"/>
    <w:rsid w:val="001A6309"/>
    <w:rsid w:val="001B00AB"/>
    <w:rsid w:val="001C0943"/>
    <w:rsid w:val="001C140C"/>
    <w:rsid w:val="001C2D53"/>
    <w:rsid w:val="001C300E"/>
    <w:rsid w:val="001C453C"/>
    <w:rsid w:val="001C48E5"/>
    <w:rsid w:val="001D1F12"/>
    <w:rsid w:val="001D2867"/>
    <w:rsid w:val="001D4F8F"/>
    <w:rsid w:val="001E245D"/>
    <w:rsid w:val="001E2C06"/>
    <w:rsid w:val="001E2E2B"/>
    <w:rsid w:val="001E436F"/>
    <w:rsid w:val="001E4C7A"/>
    <w:rsid w:val="001E6356"/>
    <w:rsid w:val="001E692C"/>
    <w:rsid w:val="001F0CCC"/>
    <w:rsid w:val="001F102B"/>
    <w:rsid w:val="001F1053"/>
    <w:rsid w:val="001F388A"/>
    <w:rsid w:val="001F5C59"/>
    <w:rsid w:val="001F6280"/>
    <w:rsid w:val="00200722"/>
    <w:rsid w:val="00200B53"/>
    <w:rsid w:val="002031C0"/>
    <w:rsid w:val="00204D14"/>
    <w:rsid w:val="00212AA0"/>
    <w:rsid w:val="00212B64"/>
    <w:rsid w:val="00214878"/>
    <w:rsid w:val="00223CA0"/>
    <w:rsid w:val="0022429E"/>
    <w:rsid w:val="00226175"/>
    <w:rsid w:val="002261B9"/>
    <w:rsid w:val="0022643A"/>
    <w:rsid w:val="00237134"/>
    <w:rsid w:val="0024014D"/>
    <w:rsid w:val="00241177"/>
    <w:rsid w:val="0024192B"/>
    <w:rsid w:val="002462A6"/>
    <w:rsid w:val="00246B3D"/>
    <w:rsid w:val="002519CD"/>
    <w:rsid w:val="00251BF4"/>
    <w:rsid w:val="002520A9"/>
    <w:rsid w:val="002525E4"/>
    <w:rsid w:val="002526F8"/>
    <w:rsid w:val="00252A3C"/>
    <w:rsid w:val="00257F2C"/>
    <w:rsid w:val="00264D24"/>
    <w:rsid w:val="00265EE0"/>
    <w:rsid w:val="002666C8"/>
    <w:rsid w:val="00266C26"/>
    <w:rsid w:val="00267694"/>
    <w:rsid w:val="00271223"/>
    <w:rsid w:val="002738C1"/>
    <w:rsid w:val="00273D8F"/>
    <w:rsid w:val="00274339"/>
    <w:rsid w:val="00281740"/>
    <w:rsid w:val="00284C10"/>
    <w:rsid w:val="00285611"/>
    <w:rsid w:val="00285B94"/>
    <w:rsid w:val="002879F0"/>
    <w:rsid w:val="002904E8"/>
    <w:rsid w:val="00290C9C"/>
    <w:rsid w:val="002921B0"/>
    <w:rsid w:val="002925B8"/>
    <w:rsid w:val="00294C2C"/>
    <w:rsid w:val="002A07FE"/>
    <w:rsid w:val="002A0BB2"/>
    <w:rsid w:val="002A16FA"/>
    <w:rsid w:val="002A2433"/>
    <w:rsid w:val="002A418E"/>
    <w:rsid w:val="002A4C3E"/>
    <w:rsid w:val="002A51A7"/>
    <w:rsid w:val="002A61B7"/>
    <w:rsid w:val="002A72B6"/>
    <w:rsid w:val="002A7FA0"/>
    <w:rsid w:val="002B033E"/>
    <w:rsid w:val="002B0905"/>
    <w:rsid w:val="002B0F60"/>
    <w:rsid w:val="002B2587"/>
    <w:rsid w:val="002B329C"/>
    <w:rsid w:val="002B3AE0"/>
    <w:rsid w:val="002B4C61"/>
    <w:rsid w:val="002B7B9B"/>
    <w:rsid w:val="002C1A8B"/>
    <w:rsid w:val="002C2E0F"/>
    <w:rsid w:val="002C528E"/>
    <w:rsid w:val="002C6AC2"/>
    <w:rsid w:val="002C7978"/>
    <w:rsid w:val="002D2123"/>
    <w:rsid w:val="002E0756"/>
    <w:rsid w:val="002E0CBA"/>
    <w:rsid w:val="002E2BEE"/>
    <w:rsid w:val="002E40FD"/>
    <w:rsid w:val="002E42A8"/>
    <w:rsid w:val="002E4F35"/>
    <w:rsid w:val="002E521B"/>
    <w:rsid w:val="002E6CDB"/>
    <w:rsid w:val="002F2779"/>
    <w:rsid w:val="002F5107"/>
    <w:rsid w:val="002F5395"/>
    <w:rsid w:val="002F5DCD"/>
    <w:rsid w:val="002F5DD4"/>
    <w:rsid w:val="002F6835"/>
    <w:rsid w:val="002F793D"/>
    <w:rsid w:val="003105E4"/>
    <w:rsid w:val="0031462C"/>
    <w:rsid w:val="003155B5"/>
    <w:rsid w:val="00317D18"/>
    <w:rsid w:val="00320851"/>
    <w:rsid w:val="00320E78"/>
    <w:rsid w:val="003221C9"/>
    <w:rsid w:val="003225C1"/>
    <w:rsid w:val="00323A2A"/>
    <w:rsid w:val="003257DE"/>
    <w:rsid w:val="003307D2"/>
    <w:rsid w:val="00331A64"/>
    <w:rsid w:val="0033323C"/>
    <w:rsid w:val="003379C6"/>
    <w:rsid w:val="00342FEC"/>
    <w:rsid w:val="00343AE7"/>
    <w:rsid w:val="00345345"/>
    <w:rsid w:val="00347B56"/>
    <w:rsid w:val="00350261"/>
    <w:rsid w:val="00351B4C"/>
    <w:rsid w:val="00351E19"/>
    <w:rsid w:val="0035213D"/>
    <w:rsid w:val="00352868"/>
    <w:rsid w:val="00353577"/>
    <w:rsid w:val="00354C3C"/>
    <w:rsid w:val="00355318"/>
    <w:rsid w:val="00355987"/>
    <w:rsid w:val="00355AEB"/>
    <w:rsid w:val="00357AAE"/>
    <w:rsid w:val="00361BD5"/>
    <w:rsid w:val="003620EF"/>
    <w:rsid w:val="0036234A"/>
    <w:rsid w:val="0036255F"/>
    <w:rsid w:val="00362858"/>
    <w:rsid w:val="00363F9B"/>
    <w:rsid w:val="003657BB"/>
    <w:rsid w:val="00367151"/>
    <w:rsid w:val="00367C0E"/>
    <w:rsid w:val="00370C74"/>
    <w:rsid w:val="00373C17"/>
    <w:rsid w:val="00376F03"/>
    <w:rsid w:val="003835DE"/>
    <w:rsid w:val="0038385A"/>
    <w:rsid w:val="00384186"/>
    <w:rsid w:val="00386E93"/>
    <w:rsid w:val="00391BBD"/>
    <w:rsid w:val="003978B3"/>
    <w:rsid w:val="003A1BA1"/>
    <w:rsid w:val="003A55DB"/>
    <w:rsid w:val="003B1A67"/>
    <w:rsid w:val="003B1A7A"/>
    <w:rsid w:val="003B3D37"/>
    <w:rsid w:val="003B437F"/>
    <w:rsid w:val="003B60A2"/>
    <w:rsid w:val="003B7A8F"/>
    <w:rsid w:val="003C2940"/>
    <w:rsid w:val="003C2E58"/>
    <w:rsid w:val="003C43CD"/>
    <w:rsid w:val="003C6402"/>
    <w:rsid w:val="003D0712"/>
    <w:rsid w:val="003D0B3E"/>
    <w:rsid w:val="003D184E"/>
    <w:rsid w:val="003D231F"/>
    <w:rsid w:val="003D6065"/>
    <w:rsid w:val="003D73ED"/>
    <w:rsid w:val="003D78E8"/>
    <w:rsid w:val="003E078B"/>
    <w:rsid w:val="003E25F0"/>
    <w:rsid w:val="003E4503"/>
    <w:rsid w:val="003E6E3E"/>
    <w:rsid w:val="003F01B9"/>
    <w:rsid w:val="003F2A9C"/>
    <w:rsid w:val="003F4B9B"/>
    <w:rsid w:val="0040060C"/>
    <w:rsid w:val="00400C4E"/>
    <w:rsid w:val="0040131F"/>
    <w:rsid w:val="00402117"/>
    <w:rsid w:val="00402841"/>
    <w:rsid w:val="00403D40"/>
    <w:rsid w:val="00404A7A"/>
    <w:rsid w:val="00405A6B"/>
    <w:rsid w:val="00411C25"/>
    <w:rsid w:val="00412181"/>
    <w:rsid w:val="00412D2C"/>
    <w:rsid w:val="0041425C"/>
    <w:rsid w:val="0041518A"/>
    <w:rsid w:val="00415A2D"/>
    <w:rsid w:val="00415DFD"/>
    <w:rsid w:val="004200ED"/>
    <w:rsid w:val="004213FC"/>
    <w:rsid w:val="00424457"/>
    <w:rsid w:val="00424E25"/>
    <w:rsid w:val="00432771"/>
    <w:rsid w:val="00433081"/>
    <w:rsid w:val="00434B64"/>
    <w:rsid w:val="0043501C"/>
    <w:rsid w:val="0043579D"/>
    <w:rsid w:val="0043585E"/>
    <w:rsid w:val="00435CBE"/>
    <w:rsid w:val="00436A14"/>
    <w:rsid w:val="00440ABD"/>
    <w:rsid w:val="00441650"/>
    <w:rsid w:val="004417AE"/>
    <w:rsid w:val="00441A79"/>
    <w:rsid w:val="00446867"/>
    <w:rsid w:val="004468B6"/>
    <w:rsid w:val="004503B1"/>
    <w:rsid w:val="00450C0B"/>
    <w:rsid w:val="004544BE"/>
    <w:rsid w:val="0045456C"/>
    <w:rsid w:val="004564D9"/>
    <w:rsid w:val="00460280"/>
    <w:rsid w:val="00463D0E"/>
    <w:rsid w:val="00470F15"/>
    <w:rsid w:val="004735B6"/>
    <w:rsid w:val="00474263"/>
    <w:rsid w:val="00474BE9"/>
    <w:rsid w:val="00475069"/>
    <w:rsid w:val="00475F4F"/>
    <w:rsid w:val="0047672D"/>
    <w:rsid w:val="00476C91"/>
    <w:rsid w:val="004775CD"/>
    <w:rsid w:val="004816CE"/>
    <w:rsid w:val="00483A8F"/>
    <w:rsid w:val="00487E1B"/>
    <w:rsid w:val="00490FD8"/>
    <w:rsid w:val="00492B38"/>
    <w:rsid w:val="00492C6A"/>
    <w:rsid w:val="00492DFB"/>
    <w:rsid w:val="00493E92"/>
    <w:rsid w:val="004953B6"/>
    <w:rsid w:val="0049579D"/>
    <w:rsid w:val="004961A3"/>
    <w:rsid w:val="0049779A"/>
    <w:rsid w:val="004A0A7B"/>
    <w:rsid w:val="004A1667"/>
    <w:rsid w:val="004A752B"/>
    <w:rsid w:val="004A78A8"/>
    <w:rsid w:val="004B4464"/>
    <w:rsid w:val="004B6180"/>
    <w:rsid w:val="004B683B"/>
    <w:rsid w:val="004B7D67"/>
    <w:rsid w:val="004C02F8"/>
    <w:rsid w:val="004C0AAA"/>
    <w:rsid w:val="004C1247"/>
    <w:rsid w:val="004C1E29"/>
    <w:rsid w:val="004C3414"/>
    <w:rsid w:val="004C3FEF"/>
    <w:rsid w:val="004C4F0F"/>
    <w:rsid w:val="004C6544"/>
    <w:rsid w:val="004D3AD2"/>
    <w:rsid w:val="004D54D8"/>
    <w:rsid w:val="004D58C1"/>
    <w:rsid w:val="004D7E20"/>
    <w:rsid w:val="004E006F"/>
    <w:rsid w:val="004E036F"/>
    <w:rsid w:val="004E4758"/>
    <w:rsid w:val="004E52B8"/>
    <w:rsid w:val="004F7F67"/>
    <w:rsid w:val="00500E3B"/>
    <w:rsid w:val="005010E1"/>
    <w:rsid w:val="0050178E"/>
    <w:rsid w:val="00502093"/>
    <w:rsid w:val="005039A6"/>
    <w:rsid w:val="0051160D"/>
    <w:rsid w:val="00512296"/>
    <w:rsid w:val="005152B5"/>
    <w:rsid w:val="00515511"/>
    <w:rsid w:val="005157ED"/>
    <w:rsid w:val="0052097B"/>
    <w:rsid w:val="00522F63"/>
    <w:rsid w:val="005276EA"/>
    <w:rsid w:val="00530FAC"/>
    <w:rsid w:val="00532ACE"/>
    <w:rsid w:val="00533846"/>
    <w:rsid w:val="0053610C"/>
    <w:rsid w:val="00536B37"/>
    <w:rsid w:val="00541DD4"/>
    <w:rsid w:val="0054223A"/>
    <w:rsid w:val="00542572"/>
    <w:rsid w:val="00542A90"/>
    <w:rsid w:val="00542CF4"/>
    <w:rsid w:val="00542E9D"/>
    <w:rsid w:val="005432BD"/>
    <w:rsid w:val="00544195"/>
    <w:rsid w:val="0054729D"/>
    <w:rsid w:val="00547A69"/>
    <w:rsid w:val="005553E2"/>
    <w:rsid w:val="0055659B"/>
    <w:rsid w:val="00557CFE"/>
    <w:rsid w:val="005639B2"/>
    <w:rsid w:val="00564CCB"/>
    <w:rsid w:val="00565716"/>
    <w:rsid w:val="00565A4A"/>
    <w:rsid w:val="00565EA2"/>
    <w:rsid w:val="0056653A"/>
    <w:rsid w:val="00566E70"/>
    <w:rsid w:val="00567A3C"/>
    <w:rsid w:val="00567AFC"/>
    <w:rsid w:val="005702CB"/>
    <w:rsid w:val="005736A2"/>
    <w:rsid w:val="00575F53"/>
    <w:rsid w:val="005771C0"/>
    <w:rsid w:val="00577B24"/>
    <w:rsid w:val="0058094F"/>
    <w:rsid w:val="00580C38"/>
    <w:rsid w:val="00580FAE"/>
    <w:rsid w:val="005810D6"/>
    <w:rsid w:val="0058263A"/>
    <w:rsid w:val="0058286C"/>
    <w:rsid w:val="00583B2E"/>
    <w:rsid w:val="00584A05"/>
    <w:rsid w:val="00591B4D"/>
    <w:rsid w:val="00592CD5"/>
    <w:rsid w:val="00593180"/>
    <w:rsid w:val="005949E7"/>
    <w:rsid w:val="00594DC9"/>
    <w:rsid w:val="00595B69"/>
    <w:rsid w:val="00596AE1"/>
    <w:rsid w:val="00597541"/>
    <w:rsid w:val="005A14F7"/>
    <w:rsid w:val="005A2829"/>
    <w:rsid w:val="005B2896"/>
    <w:rsid w:val="005B2D55"/>
    <w:rsid w:val="005B46ED"/>
    <w:rsid w:val="005B581F"/>
    <w:rsid w:val="005C5B8B"/>
    <w:rsid w:val="005C796B"/>
    <w:rsid w:val="005D01D0"/>
    <w:rsid w:val="005D0B41"/>
    <w:rsid w:val="005D106B"/>
    <w:rsid w:val="005D139C"/>
    <w:rsid w:val="005D15A4"/>
    <w:rsid w:val="005D1C2A"/>
    <w:rsid w:val="005D3482"/>
    <w:rsid w:val="005D3A63"/>
    <w:rsid w:val="005D3D9B"/>
    <w:rsid w:val="005D4E28"/>
    <w:rsid w:val="005D6DD2"/>
    <w:rsid w:val="005E1425"/>
    <w:rsid w:val="005E21ED"/>
    <w:rsid w:val="005E399A"/>
    <w:rsid w:val="005E4D8B"/>
    <w:rsid w:val="005E6F35"/>
    <w:rsid w:val="005E71B0"/>
    <w:rsid w:val="005F0C11"/>
    <w:rsid w:val="005F13AD"/>
    <w:rsid w:val="005F237F"/>
    <w:rsid w:val="005F32DD"/>
    <w:rsid w:val="005F35EE"/>
    <w:rsid w:val="005F5150"/>
    <w:rsid w:val="005F5CDD"/>
    <w:rsid w:val="00601E35"/>
    <w:rsid w:val="00601ED0"/>
    <w:rsid w:val="00603594"/>
    <w:rsid w:val="00604CD7"/>
    <w:rsid w:val="00610734"/>
    <w:rsid w:val="006156B8"/>
    <w:rsid w:val="00616DAB"/>
    <w:rsid w:val="00620DE8"/>
    <w:rsid w:val="00621098"/>
    <w:rsid w:val="00622AAF"/>
    <w:rsid w:val="00626D17"/>
    <w:rsid w:val="00636C39"/>
    <w:rsid w:val="00636D81"/>
    <w:rsid w:val="00637E6D"/>
    <w:rsid w:val="00641E60"/>
    <w:rsid w:val="006457B5"/>
    <w:rsid w:val="00646852"/>
    <w:rsid w:val="00646A88"/>
    <w:rsid w:val="00662939"/>
    <w:rsid w:val="006674E6"/>
    <w:rsid w:val="006737F4"/>
    <w:rsid w:val="00675588"/>
    <w:rsid w:val="006755AA"/>
    <w:rsid w:val="00681A1B"/>
    <w:rsid w:val="006833D7"/>
    <w:rsid w:val="00687E9A"/>
    <w:rsid w:val="00692695"/>
    <w:rsid w:val="006927D8"/>
    <w:rsid w:val="00692E84"/>
    <w:rsid w:val="0069464D"/>
    <w:rsid w:val="0069513F"/>
    <w:rsid w:val="006969A2"/>
    <w:rsid w:val="006A2408"/>
    <w:rsid w:val="006A330C"/>
    <w:rsid w:val="006A77B7"/>
    <w:rsid w:val="006B0E1F"/>
    <w:rsid w:val="006B1CE3"/>
    <w:rsid w:val="006B2402"/>
    <w:rsid w:val="006B2FA9"/>
    <w:rsid w:val="006B371E"/>
    <w:rsid w:val="006B420D"/>
    <w:rsid w:val="006B6535"/>
    <w:rsid w:val="006B7D69"/>
    <w:rsid w:val="006C0498"/>
    <w:rsid w:val="006C2E62"/>
    <w:rsid w:val="006C36F6"/>
    <w:rsid w:val="006C39AD"/>
    <w:rsid w:val="006C56DC"/>
    <w:rsid w:val="006C66B7"/>
    <w:rsid w:val="006C6A49"/>
    <w:rsid w:val="006C7226"/>
    <w:rsid w:val="006D0132"/>
    <w:rsid w:val="006D04C9"/>
    <w:rsid w:val="006D0BFB"/>
    <w:rsid w:val="006D385E"/>
    <w:rsid w:val="006D4121"/>
    <w:rsid w:val="006D6F97"/>
    <w:rsid w:val="006D7553"/>
    <w:rsid w:val="006E1103"/>
    <w:rsid w:val="006E1125"/>
    <w:rsid w:val="006E71DC"/>
    <w:rsid w:val="006F0485"/>
    <w:rsid w:val="006F0B47"/>
    <w:rsid w:val="006F2761"/>
    <w:rsid w:val="00701797"/>
    <w:rsid w:val="00701E78"/>
    <w:rsid w:val="00703FB9"/>
    <w:rsid w:val="00705540"/>
    <w:rsid w:val="00706CF8"/>
    <w:rsid w:val="00706DDC"/>
    <w:rsid w:val="00706E4F"/>
    <w:rsid w:val="007078AF"/>
    <w:rsid w:val="00707DAD"/>
    <w:rsid w:val="00710D36"/>
    <w:rsid w:val="007170A8"/>
    <w:rsid w:val="00722276"/>
    <w:rsid w:val="00724E8B"/>
    <w:rsid w:val="00730069"/>
    <w:rsid w:val="0073008D"/>
    <w:rsid w:val="00730167"/>
    <w:rsid w:val="00733D04"/>
    <w:rsid w:val="007351C6"/>
    <w:rsid w:val="00737125"/>
    <w:rsid w:val="0073785E"/>
    <w:rsid w:val="00740233"/>
    <w:rsid w:val="00741E50"/>
    <w:rsid w:val="007426A7"/>
    <w:rsid w:val="007428C2"/>
    <w:rsid w:val="00742F3B"/>
    <w:rsid w:val="00742FE3"/>
    <w:rsid w:val="00745C3A"/>
    <w:rsid w:val="00750511"/>
    <w:rsid w:val="00751366"/>
    <w:rsid w:val="007536B7"/>
    <w:rsid w:val="007563BA"/>
    <w:rsid w:val="007572A8"/>
    <w:rsid w:val="007573C1"/>
    <w:rsid w:val="00757D17"/>
    <w:rsid w:val="00763321"/>
    <w:rsid w:val="007654A9"/>
    <w:rsid w:val="00770127"/>
    <w:rsid w:val="00770C15"/>
    <w:rsid w:val="00771D6E"/>
    <w:rsid w:val="007741BA"/>
    <w:rsid w:val="00782CA2"/>
    <w:rsid w:val="007847FE"/>
    <w:rsid w:val="007851D3"/>
    <w:rsid w:val="00786969"/>
    <w:rsid w:val="00787B93"/>
    <w:rsid w:val="00790EC6"/>
    <w:rsid w:val="00791A5C"/>
    <w:rsid w:val="00792613"/>
    <w:rsid w:val="00792EE8"/>
    <w:rsid w:val="0079512D"/>
    <w:rsid w:val="007955F1"/>
    <w:rsid w:val="00795C81"/>
    <w:rsid w:val="00797149"/>
    <w:rsid w:val="007A1370"/>
    <w:rsid w:val="007A1E2C"/>
    <w:rsid w:val="007A2883"/>
    <w:rsid w:val="007A3A2A"/>
    <w:rsid w:val="007A4B9E"/>
    <w:rsid w:val="007A55D8"/>
    <w:rsid w:val="007A5F2A"/>
    <w:rsid w:val="007B02D7"/>
    <w:rsid w:val="007B16EC"/>
    <w:rsid w:val="007B1E4A"/>
    <w:rsid w:val="007B373A"/>
    <w:rsid w:val="007B609E"/>
    <w:rsid w:val="007C18D6"/>
    <w:rsid w:val="007C46E4"/>
    <w:rsid w:val="007C6460"/>
    <w:rsid w:val="007D1F81"/>
    <w:rsid w:val="007D2E87"/>
    <w:rsid w:val="007D70AE"/>
    <w:rsid w:val="007D75A2"/>
    <w:rsid w:val="007E07DC"/>
    <w:rsid w:val="007E1930"/>
    <w:rsid w:val="007E371B"/>
    <w:rsid w:val="007E3BF7"/>
    <w:rsid w:val="007E4D52"/>
    <w:rsid w:val="007E5B82"/>
    <w:rsid w:val="007E67F9"/>
    <w:rsid w:val="007F26EA"/>
    <w:rsid w:val="007F7858"/>
    <w:rsid w:val="00802F57"/>
    <w:rsid w:val="00803832"/>
    <w:rsid w:val="00806704"/>
    <w:rsid w:val="00806D5C"/>
    <w:rsid w:val="00810D47"/>
    <w:rsid w:val="00812FA5"/>
    <w:rsid w:val="008159AD"/>
    <w:rsid w:val="008164A8"/>
    <w:rsid w:val="00821DB2"/>
    <w:rsid w:val="00823901"/>
    <w:rsid w:val="00823C6F"/>
    <w:rsid w:val="00824A5A"/>
    <w:rsid w:val="008253F6"/>
    <w:rsid w:val="0082576E"/>
    <w:rsid w:val="00826149"/>
    <w:rsid w:val="0082614D"/>
    <w:rsid w:val="00830907"/>
    <w:rsid w:val="00831B9B"/>
    <w:rsid w:val="00831F0E"/>
    <w:rsid w:val="008325C0"/>
    <w:rsid w:val="0083393A"/>
    <w:rsid w:val="0083454F"/>
    <w:rsid w:val="0084200F"/>
    <w:rsid w:val="00842740"/>
    <w:rsid w:val="008435B9"/>
    <w:rsid w:val="00843A43"/>
    <w:rsid w:val="00854B21"/>
    <w:rsid w:val="00857313"/>
    <w:rsid w:val="008578AC"/>
    <w:rsid w:val="008607CB"/>
    <w:rsid w:val="008641B4"/>
    <w:rsid w:val="008651BE"/>
    <w:rsid w:val="00865455"/>
    <w:rsid w:val="00866208"/>
    <w:rsid w:val="0086629E"/>
    <w:rsid w:val="00866F34"/>
    <w:rsid w:val="008677D0"/>
    <w:rsid w:val="00870DA9"/>
    <w:rsid w:val="0087151A"/>
    <w:rsid w:val="008726E5"/>
    <w:rsid w:val="008732A9"/>
    <w:rsid w:val="008751A9"/>
    <w:rsid w:val="008751C5"/>
    <w:rsid w:val="00875BF2"/>
    <w:rsid w:val="008778A3"/>
    <w:rsid w:val="00881C26"/>
    <w:rsid w:val="00883ED1"/>
    <w:rsid w:val="008845F4"/>
    <w:rsid w:val="00886A42"/>
    <w:rsid w:val="008876B4"/>
    <w:rsid w:val="00887A40"/>
    <w:rsid w:val="008911C1"/>
    <w:rsid w:val="00892263"/>
    <w:rsid w:val="008A441A"/>
    <w:rsid w:val="008A4E9A"/>
    <w:rsid w:val="008A7294"/>
    <w:rsid w:val="008B105B"/>
    <w:rsid w:val="008B156E"/>
    <w:rsid w:val="008B1708"/>
    <w:rsid w:val="008B1DF5"/>
    <w:rsid w:val="008B5842"/>
    <w:rsid w:val="008B6A0D"/>
    <w:rsid w:val="008C0593"/>
    <w:rsid w:val="008C0698"/>
    <w:rsid w:val="008C1E7B"/>
    <w:rsid w:val="008C6167"/>
    <w:rsid w:val="008C773E"/>
    <w:rsid w:val="008E4142"/>
    <w:rsid w:val="008F2B0B"/>
    <w:rsid w:val="008F31AC"/>
    <w:rsid w:val="008F6687"/>
    <w:rsid w:val="00902C16"/>
    <w:rsid w:val="00906D57"/>
    <w:rsid w:val="00907D54"/>
    <w:rsid w:val="00912A29"/>
    <w:rsid w:val="00913E3A"/>
    <w:rsid w:val="00914F7B"/>
    <w:rsid w:val="00916109"/>
    <w:rsid w:val="00924A88"/>
    <w:rsid w:val="009250E3"/>
    <w:rsid w:val="00927AE2"/>
    <w:rsid w:val="00930380"/>
    <w:rsid w:val="009303C2"/>
    <w:rsid w:val="009310D9"/>
    <w:rsid w:val="0093149E"/>
    <w:rsid w:val="00931AD9"/>
    <w:rsid w:val="00932137"/>
    <w:rsid w:val="00932702"/>
    <w:rsid w:val="00932F9C"/>
    <w:rsid w:val="00933EBC"/>
    <w:rsid w:val="0093501D"/>
    <w:rsid w:val="009427BD"/>
    <w:rsid w:val="00942DEF"/>
    <w:rsid w:val="00953990"/>
    <w:rsid w:val="009574A9"/>
    <w:rsid w:val="00962A0C"/>
    <w:rsid w:val="00965751"/>
    <w:rsid w:val="00970CBA"/>
    <w:rsid w:val="00971C90"/>
    <w:rsid w:val="00975087"/>
    <w:rsid w:val="00980062"/>
    <w:rsid w:val="0098053D"/>
    <w:rsid w:val="00980687"/>
    <w:rsid w:val="009806B0"/>
    <w:rsid w:val="00980CC4"/>
    <w:rsid w:val="009827BE"/>
    <w:rsid w:val="0098305B"/>
    <w:rsid w:val="00985586"/>
    <w:rsid w:val="00990969"/>
    <w:rsid w:val="00992213"/>
    <w:rsid w:val="0099610B"/>
    <w:rsid w:val="009A0509"/>
    <w:rsid w:val="009A17D4"/>
    <w:rsid w:val="009A1EA2"/>
    <w:rsid w:val="009A4EF8"/>
    <w:rsid w:val="009A5488"/>
    <w:rsid w:val="009A7EA5"/>
    <w:rsid w:val="009B099A"/>
    <w:rsid w:val="009B1271"/>
    <w:rsid w:val="009B1F80"/>
    <w:rsid w:val="009B29C5"/>
    <w:rsid w:val="009B2BFA"/>
    <w:rsid w:val="009B46BA"/>
    <w:rsid w:val="009B5411"/>
    <w:rsid w:val="009C1FD0"/>
    <w:rsid w:val="009C2FE4"/>
    <w:rsid w:val="009C4A44"/>
    <w:rsid w:val="009C4C80"/>
    <w:rsid w:val="009C4EDD"/>
    <w:rsid w:val="009C6528"/>
    <w:rsid w:val="009C7806"/>
    <w:rsid w:val="009D108C"/>
    <w:rsid w:val="009D1D20"/>
    <w:rsid w:val="009D73D8"/>
    <w:rsid w:val="009D7943"/>
    <w:rsid w:val="009E0B1E"/>
    <w:rsid w:val="009E7B53"/>
    <w:rsid w:val="009F00A6"/>
    <w:rsid w:val="009F03C3"/>
    <w:rsid w:val="009F1D0F"/>
    <w:rsid w:val="009F3B60"/>
    <w:rsid w:val="009F57BE"/>
    <w:rsid w:val="00A00ED3"/>
    <w:rsid w:val="00A0583A"/>
    <w:rsid w:val="00A06C9C"/>
    <w:rsid w:val="00A142AF"/>
    <w:rsid w:val="00A16084"/>
    <w:rsid w:val="00A17CFD"/>
    <w:rsid w:val="00A22E0E"/>
    <w:rsid w:val="00A26DBE"/>
    <w:rsid w:val="00A27BA0"/>
    <w:rsid w:val="00A32A27"/>
    <w:rsid w:val="00A32BB2"/>
    <w:rsid w:val="00A35F23"/>
    <w:rsid w:val="00A37602"/>
    <w:rsid w:val="00A40401"/>
    <w:rsid w:val="00A45370"/>
    <w:rsid w:val="00A457D2"/>
    <w:rsid w:val="00A469D3"/>
    <w:rsid w:val="00A46B0A"/>
    <w:rsid w:val="00A46E1C"/>
    <w:rsid w:val="00A51897"/>
    <w:rsid w:val="00A52AD5"/>
    <w:rsid w:val="00A6304B"/>
    <w:rsid w:val="00A63930"/>
    <w:rsid w:val="00A64004"/>
    <w:rsid w:val="00A66944"/>
    <w:rsid w:val="00A67D97"/>
    <w:rsid w:val="00A70283"/>
    <w:rsid w:val="00A70A37"/>
    <w:rsid w:val="00A70E3C"/>
    <w:rsid w:val="00A82A8F"/>
    <w:rsid w:val="00A82D21"/>
    <w:rsid w:val="00A851BE"/>
    <w:rsid w:val="00A87820"/>
    <w:rsid w:val="00A87939"/>
    <w:rsid w:val="00A909A2"/>
    <w:rsid w:val="00A979C0"/>
    <w:rsid w:val="00AA218E"/>
    <w:rsid w:val="00AA4D73"/>
    <w:rsid w:val="00AA624A"/>
    <w:rsid w:val="00AB192F"/>
    <w:rsid w:val="00AB2C16"/>
    <w:rsid w:val="00AB4C99"/>
    <w:rsid w:val="00AB50E5"/>
    <w:rsid w:val="00AB6843"/>
    <w:rsid w:val="00AB6B93"/>
    <w:rsid w:val="00AC41D3"/>
    <w:rsid w:val="00AC4E0F"/>
    <w:rsid w:val="00AC4F52"/>
    <w:rsid w:val="00AC4FBB"/>
    <w:rsid w:val="00AC53D5"/>
    <w:rsid w:val="00AC5514"/>
    <w:rsid w:val="00AC7A5D"/>
    <w:rsid w:val="00AD017C"/>
    <w:rsid w:val="00AD1D6B"/>
    <w:rsid w:val="00AD54C4"/>
    <w:rsid w:val="00AD5785"/>
    <w:rsid w:val="00AD58B6"/>
    <w:rsid w:val="00AD626B"/>
    <w:rsid w:val="00AD7803"/>
    <w:rsid w:val="00AE3E28"/>
    <w:rsid w:val="00AE3F47"/>
    <w:rsid w:val="00AE65B7"/>
    <w:rsid w:val="00AE7CD3"/>
    <w:rsid w:val="00AF154D"/>
    <w:rsid w:val="00AF612C"/>
    <w:rsid w:val="00AF6972"/>
    <w:rsid w:val="00AF6F7B"/>
    <w:rsid w:val="00AF7361"/>
    <w:rsid w:val="00AF7F9B"/>
    <w:rsid w:val="00B005F1"/>
    <w:rsid w:val="00B01434"/>
    <w:rsid w:val="00B01FF0"/>
    <w:rsid w:val="00B02A34"/>
    <w:rsid w:val="00B02C8B"/>
    <w:rsid w:val="00B04F6A"/>
    <w:rsid w:val="00B05D80"/>
    <w:rsid w:val="00B05E51"/>
    <w:rsid w:val="00B113DF"/>
    <w:rsid w:val="00B1346F"/>
    <w:rsid w:val="00B17130"/>
    <w:rsid w:val="00B17BBC"/>
    <w:rsid w:val="00B17C8C"/>
    <w:rsid w:val="00B205D7"/>
    <w:rsid w:val="00B22771"/>
    <w:rsid w:val="00B22991"/>
    <w:rsid w:val="00B23653"/>
    <w:rsid w:val="00B23E2C"/>
    <w:rsid w:val="00B24815"/>
    <w:rsid w:val="00B248D3"/>
    <w:rsid w:val="00B24BE1"/>
    <w:rsid w:val="00B276DF"/>
    <w:rsid w:val="00B279D9"/>
    <w:rsid w:val="00B27D65"/>
    <w:rsid w:val="00B3124E"/>
    <w:rsid w:val="00B31262"/>
    <w:rsid w:val="00B32389"/>
    <w:rsid w:val="00B323D1"/>
    <w:rsid w:val="00B33155"/>
    <w:rsid w:val="00B3448D"/>
    <w:rsid w:val="00B36794"/>
    <w:rsid w:val="00B367B2"/>
    <w:rsid w:val="00B40825"/>
    <w:rsid w:val="00B425FD"/>
    <w:rsid w:val="00B446DC"/>
    <w:rsid w:val="00B50CE7"/>
    <w:rsid w:val="00B50D64"/>
    <w:rsid w:val="00B51091"/>
    <w:rsid w:val="00B519E0"/>
    <w:rsid w:val="00B53B8D"/>
    <w:rsid w:val="00B5754A"/>
    <w:rsid w:val="00B578CC"/>
    <w:rsid w:val="00B61DF0"/>
    <w:rsid w:val="00B6246D"/>
    <w:rsid w:val="00B65331"/>
    <w:rsid w:val="00B677A5"/>
    <w:rsid w:val="00B70805"/>
    <w:rsid w:val="00B718E9"/>
    <w:rsid w:val="00B72C79"/>
    <w:rsid w:val="00B749D5"/>
    <w:rsid w:val="00B74C41"/>
    <w:rsid w:val="00B77C55"/>
    <w:rsid w:val="00B80DB6"/>
    <w:rsid w:val="00B81333"/>
    <w:rsid w:val="00B83696"/>
    <w:rsid w:val="00B83E50"/>
    <w:rsid w:val="00B8577B"/>
    <w:rsid w:val="00B86869"/>
    <w:rsid w:val="00B9087A"/>
    <w:rsid w:val="00B91C12"/>
    <w:rsid w:val="00B92ABB"/>
    <w:rsid w:val="00B93E04"/>
    <w:rsid w:val="00BA14C9"/>
    <w:rsid w:val="00BA5033"/>
    <w:rsid w:val="00BA54C8"/>
    <w:rsid w:val="00BB0D34"/>
    <w:rsid w:val="00BB1EDE"/>
    <w:rsid w:val="00BB576C"/>
    <w:rsid w:val="00BC1294"/>
    <w:rsid w:val="00BC2565"/>
    <w:rsid w:val="00BC2D07"/>
    <w:rsid w:val="00BC3551"/>
    <w:rsid w:val="00BC56CD"/>
    <w:rsid w:val="00BC6A75"/>
    <w:rsid w:val="00BC74CA"/>
    <w:rsid w:val="00BC771D"/>
    <w:rsid w:val="00BD0831"/>
    <w:rsid w:val="00BD0DD1"/>
    <w:rsid w:val="00BD1A03"/>
    <w:rsid w:val="00BD2CD0"/>
    <w:rsid w:val="00BD3B98"/>
    <w:rsid w:val="00BD5023"/>
    <w:rsid w:val="00BD60DB"/>
    <w:rsid w:val="00BD66ED"/>
    <w:rsid w:val="00BE271A"/>
    <w:rsid w:val="00BE2C8D"/>
    <w:rsid w:val="00BE788F"/>
    <w:rsid w:val="00BF40E1"/>
    <w:rsid w:val="00BF6167"/>
    <w:rsid w:val="00BF683C"/>
    <w:rsid w:val="00BF7131"/>
    <w:rsid w:val="00C00FC3"/>
    <w:rsid w:val="00C011CA"/>
    <w:rsid w:val="00C03AC7"/>
    <w:rsid w:val="00C047B6"/>
    <w:rsid w:val="00C04884"/>
    <w:rsid w:val="00C06257"/>
    <w:rsid w:val="00C10213"/>
    <w:rsid w:val="00C10F77"/>
    <w:rsid w:val="00C126AE"/>
    <w:rsid w:val="00C146CB"/>
    <w:rsid w:val="00C15AD5"/>
    <w:rsid w:val="00C1612A"/>
    <w:rsid w:val="00C22F04"/>
    <w:rsid w:val="00C25F5B"/>
    <w:rsid w:val="00C26450"/>
    <w:rsid w:val="00C321C1"/>
    <w:rsid w:val="00C32835"/>
    <w:rsid w:val="00C32A1C"/>
    <w:rsid w:val="00C33340"/>
    <w:rsid w:val="00C363D2"/>
    <w:rsid w:val="00C37978"/>
    <w:rsid w:val="00C41A9A"/>
    <w:rsid w:val="00C4482F"/>
    <w:rsid w:val="00C44A66"/>
    <w:rsid w:val="00C4671E"/>
    <w:rsid w:val="00C467D0"/>
    <w:rsid w:val="00C5064D"/>
    <w:rsid w:val="00C5622F"/>
    <w:rsid w:val="00C563B9"/>
    <w:rsid w:val="00C708BC"/>
    <w:rsid w:val="00C70B65"/>
    <w:rsid w:val="00C71C27"/>
    <w:rsid w:val="00C738C7"/>
    <w:rsid w:val="00C73D26"/>
    <w:rsid w:val="00C75438"/>
    <w:rsid w:val="00C75BEC"/>
    <w:rsid w:val="00C775A1"/>
    <w:rsid w:val="00C800DA"/>
    <w:rsid w:val="00C803D1"/>
    <w:rsid w:val="00C806E5"/>
    <w:rsid w:val="00C80E92"/>
    <w:rsid w:val="00C827A1"/>
    <w:rsid w:val="00C827A2"/>
    <w:rsid w:val="00C82F0C"/>
    <w:rsid w:val="00C83053"/>
    <w:rsid w:val="00C84CE4"/>
    <w:rsid w:val="00C86828"/>
    <w:rsid w:val="00C87326"/>
    <w:rsid w:val="00C90319"/>
    <w:rsid w:val="00C938F2"/>
    <w:rsid w:val="00C94A28"/>
    <w:rsid w:val="00C94AFD"/>
    <w:rsid w:val="00C95799"/>
    <w:rsid w:val="00C962DE"/>
    <w:rsid w:val="00C96CA4"/>
    <w:rsid w:val="00C97AC5"/>
    <w:rsid w:val="00C97F3A"/>
    <w:rsid w:val="00CA01DB"/>
    <w:rsid w:val="00CA117D"/>
    <w:rsid w:val="00CA39E8"/>
    <w:rsid w:val="00CA6E60"/>
    <w:rsid w:val="00CA714B"/>
    <w:rsid w:val="00CB0F3A"/>
    <w:rsid w:val="00CB72D9"/>
    <w:rsid w:val="00CC148F"/>
    <w:rsid w:val="00CC1AA5"/>
    <w:rsid w:val="00CC2737"/>
    <w:rsid w:val="00CC37BD"/>
    <w:rsid w:val="00CC4DC5"/>
    <w:rsid w:val="00CC4E06"/>
    <w:rsid w:val="00CC7426"/>
    <w:rsid w:val="00CD01FA"/>
    <w:rsid w:val="00CD0FF9"/>
    <w:rsid w:val="00CD1857"/>
    <w:rsid w:val="00CD1CEF"/>
    <w:rsid w:val="00CD25E2"/>
    <w:rsid w:val="00CD604A"/>
    <w:rsid w:val="00CE31BD"/>
    <w:rsid w:val="00CE386F"/>
    <w:rsid w:val="00CE3AEF"/>
    <w:rsid w:val="00CE3B6E"/>
    <w:rsid w:val="00CF0F83"/>
    <w:rsid w:val="00CF3384"/>
    <w:rsid w:val="00CF469F"/>
    <w:rsid w:val="00CF553E"/>
    <w:rsid w:val="00CF582E"/>
    <w:rsid w:val="00D00BD2"/>
    <w:rsid w:val="00D013B6"/>
    <w:rsid w:val="00D028A3"/>
    <w:rsid w:val="00D064F4"/>
    <w:rsid w:val="00D10559"/>
    <w:rsid w:val="00D11E53"/>
    <w:rsid w:val="00D12438"/>
    <w:rsid w:val="00D140B9"/>
    <w:rsid w:val="00D14E7A"/>
    <w:rsid w:val="00D1623B"/>
    <w:rsid w:val="00D163E2"/>
    <w:rsid w:val="00D2045F"/>
    <w:rsid w:val="00D214D6"/>
    <w:rsid w:val="00D222DD"/>
    <w:rsid w:val="00D241B7"/>
    <w:rsid w:val="00D24301"/>
    <w:rsid w:val="00D2744C"/>
    <w:rsid w:val="00D3003D"/>
    <w:rsid w:val="00D31154"/>
    <w:rsid w:val="00D31EE4"/>
    <w:rsid w:val="00D375E5"/>
    <w:rsid w:val="00D401BE"/>
    <w:rsid w:val="00D44701"/>
    <w:rsid w:val="00D471FC"/>
    <w:rsid w:val="00D509B1"/>
    <w:rsid w:val="00D51B9A"/>
    <w:rsid w:val="00D54BF5"/>
    <w:rsid w:val="00D60199"/>
    <w:rsid w:val="00D617FD"/>
    <w:rsid w:val="00D61F90"/>
    <w:rsid w:val="00D62FC7"/>
    <w:rsid w:val="00D639B6"/>
    <w:rsid w:val="00D640DA"/>
    <w:rsid w:val="00D64E8C"/>
    <w:rsid w:val="00D73E20"/>
    <w:rsid w:val="00D73F1F"/>
    <w:rsid w:val="00D75FD4"/>
    <w:rsid w:val="00D76376"/>
    <w:rsid w:val="00D77AEC"/>
    <w:rsid w:val="00D829EC"/>
    <w:rsid w:val="00D837FB"/>
    <w:rsid w:val="00D83C7C"/>
    <w:rsid w:val="00D83D77"/>
    <w:rsid w:val="00D83FA7"/>
    <w:rsid w:val="00D84787"/>
    <w:rsid w:val="00D86185"/>
    <w:rsid w:val="00D8657D"/>
    <w:rsid w:val="00D9081E"/>
    <w:rsid w:val="00D92D67"/>
    <w:rsid w:val="00D93977"/>
    <w:rsid w:val="00D94004"/>
    <w:rsid w:val="00DA05EF"/>
    <w:rsid w:val="00DA225A"/>
    <w:rsid w:val="00DA2D1E"/>
    <w:rsid w:val="00DA382B"/>
    <w:rsid w:val="00DA5459"/>
    <w:rsid w:val="00DB299F"/>
    <w:rsid w:val="00DB32E6"/>
    <w:rsid w:val="00DC0315"/>
    <w:rsid w:val="00DC03AD"/>
    <w:rsid w:val="00DC13DF"/>
    <w:rsid w:val="00DC1574"/>
    <w:rsid w:val="00DD0EBF"/>
    <w:rsid w:val="00DD16B4"/>
    <w:rsid w:val="00DD2525"/>
    <w:rsid w:val="00DD3A2D"/>
    <w:rsid w:val="00DD3E66"/>
    <w:rsid w:val="00DD4031"/>
    <w:rsid w:val="00DD6DD0"/>
    <w:rsid w:val="00DE176A"/>
    <w:rsid w:val="00DE676C"/>
    <w:rsid w:val="00DE74E9"/>
    <w:rsid w:val="00DF0AE4"/>
    <w:rsid w:val="00DF14BE"/>
    <w:rsid w:val="00DF1B98"/>
    <w:rsid w:val="00DF2065"/>
    <w:rsid w:val="00DF3C2B"/>
    <w:rsid w:val="00DF65E9"/>
    <w:rsid w:val="00DF751C"/>
    <w:rsid w:val="00E01468"/>
    <w:rsid w:val="00E02EA3"/>
    <w:rsid w:val="00E030E2"/>
    <w:rsid w:val="00E04701"/>
    <w:rsid w:val="00E07E8B"/>
    <w:rsid w:val="00E12375"/>
    <w:rsid w:val="00E12AFA"/>
    <w:rsid w:val="00E132B1"/>
    <w:rsid w:val="00E13386"/>
    <w:rsid w:val="00E1374A"/>
    <w:rsid w:val="00E15A06"/>
    <w:rsid w:val="00E15AB0"/>
    <w:rsid w:val="00E21BEA"/>
    <w:rsid w:val="00E26AD8"/>
    <w:rsid w:val="00E27FDE"/>
    <w:rsid w:val="00E30683"/>
    <w:rsid w:val="00E30D6D"/>
    <w:rsid w:val="00E3142B"/>
    <w:rsid w:val="00E3180F"/>
    <w:rsid w:val="00E32AEC"/>
    <w:rsid w:val="00E34E6A"/>
    <w:rsid w:val="00E41E52"/>
    <w:rsid w:val="00E41FBD"/>
    <w:rsid w:val="00E424A5"/>
    <w:rsid w:val="00E435F6"/>
    <w:rsid w:val="00E450AE"/>
    <w:rsid w:val="00E461C7"/>
    <w:rsid w:val="00E53E0F"/>
    <w:rsid w:val="00E54DEF"/>
    <w:rsid w:val="00E603BE"/>
    <w:rsid w:val="00E610D3"/>
    <w:rsid w:val="00E63564"/>
    <w:rsid w:val="00E649B6"/>
    <w:rsid w:val="00E64EC3"/>
    <w:rsid w:val="00E669E4"/>
    <w:rsid w:val="00E66CA0"/>
    <w:rsid w:val="00E67F0F"/>
    <w:rsid w:val="00E7019F"/>
    <w:rsid w:val="00E71496"/>
    <w:rsid w:val="00E717E0"/>
    <w:rsid w:val="00E719B7"/>
    <w:rsid w:val="00E71C6D"/>
    <w:rsid w:val="00E72B3B"/>
    <w:rsid w:val="00E73CAC"/>
    <w:rsid w:val="00E7402F"/>
    <w:rsid w:val="00E74384"/>
    <w:rsid w:val="00E8245E"/>
    <w:rsid w:val="00E86E10"/>
    <w:rsid w:val="00E91D4B"/>
    <w:rsid w:val="00E92035"/>
    <w:rsid w:val="00EA0049"/>
    <w:rsid w:val="00EA31DA"/>
    <w:rsid w:val="00EA3FAB"/>
    <w:rsid w:val="00EA79B6"/>
    <w:rsid w:val="00EB030D"/>
    <w:rsid w:val="00EB3317"/>
    <w:rsid w:val="00EB3F4C"/>
    <w:rsid w:val="00EB3FDE"/>
    <w:rsid w:val="00EB4154"/>
    <w:rsid w:val="00EB5624"/>
    <w:rsid w:val="00EB719D"/>
    <w:rsid w:val="00EC0BD6"/>
    <w:rsid w:val="00EC17A0"/>
    <w:rsid w:val="00EC249C"/>
    <w:rsid w:val="00EC381A"/>
    <w:rsid w:val="00EC4D66"/>
    <w:rsid w:val="00EC7E55"/>
    <w:rsid w:val="00ED0AD0"/>
    <w:rsid w:val="00ED0CA7"/>
    <w:rsid w:val="00ED1EC9"/>
    <w:rsid w:val="00ED33D4"/>
    <w:rsid w:val="00ED5D76"/>
    <w:rsid w:val="00ED706D"/>
    <w:rsid w:val="00EE1F8F"/>
    <w:rsid w:val="00EE27C8"/>
    <w:rsid w:val="00EE325A"/>
    <w:rsid w:val="00EE3D2A"/>
    <w:rsid w:val="00EE5D2A"/>
    <w:rsid w:val="00EE61E9"/>
    <w:rsid w:val="00EF1200"/>
    <w:rsid w:val="00EF4548"/>
    <w:rsid w:val="00EF5187"/>
    <w:rsid w:val="00EF576E"/>
    <w:rsid w:val="00EF730F"/>
    <w:rsid w:val="00F03825"/>
    <w:rsid w:val="00F03AF3"/>
    <w:rsid w:val="00F0490C"/>
    <w:rsid w:val="00F05F14"/>
    <w:rsid w:val="00F06A9A"/>
    <w:rsid w:val="00F06DDF"/>
    <w:rsid w:val="00F06FBA"/>
    <w:rsid w:val="00F1008C"/>
    <w:rsid w:val="00F12559"/>
    <w:rsid w:val="00F1455E"/>
    <w:rsid w:val="00F1553F"/>
    <w:rsid w:val="00F15C8A"/>
    <w:rsid w:val="00F206AD"/>
    <w:rsid w:val="00F216A2"/>
    <w:rsid w:val="00F30A51"/>
    <w:rsid w:val="00F30A74"/>
    <w:rsid w:val="00F31403"/>
    <w:rsid w:val="00F32F3D"/>
    <w:rsid w:val="00F344D8"/>
    <w:rsid w:val="00F356AB"/>
    <w:rsid w:val="00F40383"/>
    <w:rsid w:val="00F42B73"/>
    <w:rsid w:val="00F44753"/>
    <w:rsid w:val="00F44DA2"/>
    <w:rsid w:val="00F45B84"/>
    <w:rsid w:val="00F45E22"/>
    <w:rsid w:val="00F5705F"/>
    <w:rsid w:val="00F57310"/>
    <w:rsid w:val="00F57595"/>
    <w:rsid w:val="00F61501"/>
    <w:rsid w:val="00F62823"/>
    <w:rsid w:val="00F62AE8"/>
    <w:rsid w:val="00F6381C"/>
    <w:rsid w:val="00F6503C"/>
    <w:rsid w:val="00F657AA"/>
    <w:rsid w:val="00F65808"/>
    <w:rsid w:val="00F73205"/>
    <w:rsid w:val="00F74272"/>
    <w:rsid w:val="00F74DF7"/>
    <w:rsid w:val="00F7707A"/>
    <w:rsid w:val="00F77397"/>
    <w:rsid w:val="00F81B48"/>
    <w:rsid w:val="00F846A8"/>
    <w:rsid w:val="00F86833"/>
    <w:rsid w:val="00F90A9F"/>
    <w:rsid w:val="00F90BF9"/>
    <w:rsid w:val="00F90ECB"/>
    <w:rsid w:val="00F914A0"/>
    <w:rsid w:val="00F93C61"/>
    <w:rsid w:val="00F96550"/>
    <w:rsid w:val="00F9777D"/>
    <w:rsid w:val="00F97BCE"/>
    <w:rsid w:val="00FA28D0"/>
    <w:rsid w:val="00FA2A5C"/>
    <w:rsid w:val="00FA3A26"/>
    <w:rsid w:val="00FA407F"/>
    <w:rsid w:val="00FA6915"/>
    <w:rsid w:val="00FA6F8A"/>
    <w:rsid w:val="00FB15A4"/>
    <w:rsid w:val="00FB1C48"/>
    <w:rsid w:val="00FB69A4"/>
    <w:rsid w:val="00FB6ACA"/>
    <w:rsid w:val="00FB70EE"/>
    <w:rsid w:val="00FC279E"/>
    <w:rsid w:val="00FC2F6C"/>
    <w:rsid w:val="00FC3373"/>
    <w:rsid w:val="00FC3EA2"/>
    <w:rsid w:val="00FC4D7E"/>
    <w:rsid w:val="00FC5D5C"/>
    <w:rsid w:val="00FC64C2"/>
    <w:rsid w:val="00FC6A8E"/>
    <w:rsid w:val="00FD301D"/>
    <w:rsid w:val="00FD6C04"/>
    <w:rsid w:val="00FE02A7"/>
    <w:rsid w:val="00FE2D80"/>
    <w:rsid w:val="00FE49E4"/>
    <w:rsid w:val="00FE62C3"/>
    <w:rsid w:val="00FE73B4"/>
    <w:rsid w:val="00FF557E"/>
    <w:rsid w:val="00FF7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6"/>
    <o:shapelayout v:ext="edit">
      <o:idmap v:ext="edit" data="1"/>
    </o:shapelayout>
  </w:shapeDefaults>
  <w:decimalSymbol w:val="."/>
  <w:listSeparator w:val=","/>
  <w14:docId w14:val="6677665E"/>
  <w15:docId w15:val="{819FA28A-1E97-47C7-8981-15396E8A7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4154"/>
  </w:style>
  <w:style w:type="paragraph" w:styleId="Heading1">
    <w:name w:val="heading 1"/>
    <w:basedOn w:val="Normal"/>
    <w:next w:val="Normal"/>
    <w:qFormat/>
    <w:rsid w:val="00EB4154"/>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EB4154"/>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EB4154"/>
    <w:pPr>
      <w:keepNext/>
      <w:numPr>
        <w:ilvl w:val="2"/>
        <w:numId w:val="1"/>
      </w:numPr>
      <w:spacing w:before="240" w:after="60"/>
      <w:outlineLvl w:val="2"/>
    </w:pPr>
    <w:rPr>
      <w:b/>
      <w:sz w:val="24"/>
    </w:rPr>
  </w:style>
  <w:style w:type="paragraph" w:styleId="Heading4">
    <w:name w:val="heading 4"/>
    <w:basedOn w:val="Normal"/>
    <w:next w:val="Normal"/>
    <w:qFormat/>
    <w:rsid w:val="00EB4154"/>
    <w:pPr>
      <w:keepNext/>
      <w:numPr>
        <w:ilvl w:val="3"/>
        <w:numId w:val="1"/>
      </w:numPr>
      <w:spacing w:before="240" w:after="60"/>
      <w:outlineLvl w:val="3"/>
    </w:pPr>
    <w:rPr>
      <w:b/>
      <w:i/>
      <w:sz w:val="24"/>
    </w:rPr>
  </w:style>
  <w:style w:type="paragraph" w:styleId="Heading5">
    <w:name w:val="heading 5"/>
    <w:basedOn w:val="Normal"/>
    <w:next w:val="Normal"/>
    <w:qFormat/>
    <w:rsid w:val="00EB4154"/>
    <w:pPr>
      <w:numPr>
        <w:ilvl w:val="4"/>
        <w:numId w:val="1"/>
      </w:numPr>
      <w:spacing w:before="240" w:after="60"/>
      <w:outlineLvl w:val="4"/>
    </w:pPr>
    <w:rPr>
      <w:rFonts w:ascii="Arial" w:hAnsi="Arial"/>
      <w:sz w:val="22"/>
    </w:rPr>
  </w:style>
  <w:style w:type="paragraph" w:styleId="Heading6">
    <w:name w:val="heading 6"/>
    <w:basedOn w:val="Normal"/>
    <w:next w:val="Normal"/>
    <w:qFormat/>
    <w:rsid w:val="00EB4154"/>
    <w:pPr>
      <w:numPr>
        <w:ilvl w:val="5"/>
        <w:numId w:val="1"/>
      </w:numPr>
      <w:spacing w:before="240" w:after="60"/>
      <w:outlineLvl w:val="5"/>
    </w:pPr>
    <w:rPr>
      <w:rFonts w:ascii="Arial" w:hAnsi="Arial"/>
      <w:i/>
      <w:sz w:val="22"/>
    </w:rPr>
  </w:style>
  <w:style w:type="paragraph" w:styleId="Heading7">
    <w:name w:val="heading 7"/>
    <w:basedOn w:val="Normal"/>
    <w:next w:val="Normal"/>
    <w:qFormat/>
    <w:rsid w:val="00EB4154"/>
    <w:pPr>
      <w:numPr>
        <w:ilvl w:val="6"/>
        <w:numId w:val="1"/>
      </w:numPr>
      <w:spacing w:before="240" w:after="60"/>
      <w:outlineLvl w:val="6"/>
    </w:pPr>
    <w:rPr>
      <w:rFonts w:ascii="Arial" w:hAnsi="Arial"/>
    </w:rPr>
  </w:style>
  <w:style w:type="paragraph" w:styleId="Heading8">
    <w:name w:val="heading 8"/>
    <w:basedOn w:val="Normal"/>
    <w:next w:val="Normal"/>
    <w:qFormat/>
    <w:rsid w:val="00EB4154"/>
    <w:pPr>
      <w:numPr>
        <w:ilvl w:val="7"/>
        <w:numId w:val="1"/>
      </w:numPr>
      <w:spacing w:before="240" w:after="60"/>
      <w:outlineLvl w:val="7"/>
    </w:pPr>
    <w:rPr>
      <w:rFonts w:ascii="Arial" w:hAnsi="Arial"/>
      <w:i/>
    </w:rPr>
  </w:style>
  <w:style w:type="paragraph" w:styleId="Heading9">
    <w:name w:val="heading 9"/>
    <w:basedOn w:val="Normal"/>
    <w:next w:val="Normal"/>
    <w:qFormat/>
    <w:rsid w:val="00EB4154"/>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EB4154"/>
  </w:style>
  <w:style w:type="paragraph" w:customStyle="1" w:styleId="Style4">
    <w:name w:val="Style4"/>
    <w:next w:val="Normal"/>
    <w:rsid w:val="00EB4154"/>
    <w:rPr>
      <w:noProof/>
      <w:sz w:val="24"/>
    </w:rPr>
  </w:style>
  <w:style w:type="paragraph" w:styleId="BodyText">
    <w:name w:val="Body Text"/>
    <w:aliases w:val="SCA Body Text,SCA Body Text1,SCA Body Text2,SCA Body Text11"/>
    <w:basedOn w:val="Normal"/>
    <w:link w:val="BodyTextChar"/>
    <w:rsid w:val="00EB4154"/>
    <w:pPr>
      <w:spacing w:after="120"/>
    </w:pPr>
  </w:style>
  <w:style w:type="paragraph" w:styleId="Header">
    <w:name w:val="header"/>
    <w:basedOn w:val="Normal"/>
    <w:rsid w:val="00EB4154"/>
    <w:pPr>
      <w:tabs>
        <w:tab w:val="center" w:pos="4320"/>
        <w:tab w:val="right" w:pos="8640"/>
      </w:tabs>
    </w:pPr>
  </w:style>
  <w:style w:type="paragraph" w:styleId="Footer">
    <w:name w:val="footer"/>
    <w:basedOn w:val="Normal"/>
    <w:rsid w:val="00EB4154"/>
    <w:pPr>
      <w:tabs>
        <w:tab w:val="center" w:pos="4320"/>
        <w:tab w:val="right" w:pos="8640"/>
      </w:tabs>
    </w:pPr>
  </w:style>
  <w:style w:type="paragraph" w:styleId="Caption">
    <w:name w:val="caption"/>
    <w:basedOn w:val="Normal"/>
    <w:next w:val="Normal"/>
    <w:uiPriority w:val="99"/>
    <w:qFormat/>
    <w:rsid w:val="00EB4154"/>
    <w:pPr>
      <w:spacing w:before="360" w:after="120"/>
    </w:pPr>
    <w:rPr>
      <w:b/>
      <w:caps/>
      <w:sz w:val="22"/>
    </w:rPr>
  </w:style>
  <w:style w:type="paragraph" w:styleId="BodyText3">
    <w:name w:val="Body Text 3"/>
    <w:basedOn w:val="Normal"/>
    <w:link w:val="BodyText3Char"/>
    <w:rsid w:val="00EB4154"/>
    <w:pPr>
      <w:spacing w:after="120"/>
      <w:jc w:val="both"/>
    </w:pPr>
    <w:rPr>
      <w:sz w:val="22"/>
    </w:rPr>
  </w:style>
  <w:style w:type="paragraph" w:styleId="BodyTextIndent">
    <w:name w:val="Body Text Indent"/>
    <w:basedOn w:val="Normal"/>
    <w:link w:val="BodyTextIndentChar"/>
    <w:uiPriority w:val="99"/>
    <w:rsid w:val="00EB4154"/>
    <w:pPr>
      <w:spacing w:after="120"/>
      <w:ind w:left="1440"/>
      <w:jc w:val="both"/>
    </w:pPr>
    <w:rPr>
      <w:sz w:val="22"/>
    </w:rPr>
  </w:style>
  <w:style w:type="paragraph" w:styleId="BodyTextIndent2">
    <w:name w:val="Body Text Indent 2"/>
    <w:basedOn w:val="Normal"/>
    <w:rsid w:val="00EB4154"/>
    <w:pPr>
      <w:suppressAutoHyphens/>
      <w:spacing w:after="120"/>
      <w:ind w:left="576"/>
      <w:jc w:val="both"/>
    </w:pPr>
    <w:rPr>
      <w:sz w:val="22"/>
    </w:rPr>
  </w:style>
  <w:style w:type="paragraph" w:styleId="BodyTextIndent3">
    <w:name w:val="Body Text Indent 3"/>
    <w:basedOn w:val="Normal"/>
    <w:rsid w:val="00EB4154"/>
    <w:pPr>
      <w:spacing w:after="120"/>
      <w:ind w:left="720"/>
      <w:jc w:val="both"/>
    </w:pPr>
    <w:rPr>
      <w:sz w:val="22"/>
    </w:rPr>
  </w:style>
  <w:style w:type="paragraph" w:styleId="BodyText2">
    <w:name w:val="Body Text 2"/>
    <w:basedOn w:val="Normal"/>
    <w:rsid w:val="00EB4154"/>
    <w:pPr>
      <w:spacing w:after="120"/>
    </w:pPr>
    <w:rPr>
      <w:sz w:val="22"/>
    </w:rPr>
  </w:style>
  <w:style w:type="table" w:styleId="TableGrid">
    <w:name w:val="Table Grid"/>
    <w:basedOn w:val="TableNormal"/>
    <w:rsid w:val="005F0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71D6E"/>
    <w:rPr>
      <w:rFonts w:ascii="Tahoma" w:hAnsi="Tahoma" w:cs="Tahoma"/>
      <w:sz w:val="16"/>
      <w:szCs w:val="16"/>
    </w:rPr>
  </w:style>
  <w:style w:type="character" w:styleId="Hyperlink">
    <w:name w:val="Hyperlink"/>
    <w:basedOn w:val="DefaultParagraphFont"/>
    <w:rsid w:val="00E461C7"/>
    <w:rPr>
      <w:color w:val="0000FF"/>
      <w:u w:val="single"/>
    </w:rPr>
  </w:style>
  <w:style w:type="character" w:customStyle="1" w:styleId="BodyTextIndentChar">
    <w:name w:val="Body Text Indent Char"/>
    <w:basedOn w:val="DefaultParagraphFont"/>
    <w:link w:val="BodyTextIndent"/>
    <w:uiPriority w:val="99"/>
    <w:rsid w:val="00274339"/>
    <w:rPr>
      <w:sz w:val="22"/>
    </w:rPr>
  </w:style>
  <w:style w:type="paragraph" w:styleId="ListParagraph">
    <w:name w:val="List Paragraph"/>
    <w:basedOn w:val="Normal"/>
    <w:uiPriority w:val="34"/>
    <w:qFormat/>
    <w:rsid w:val="00FA6F8A"/>
    <w:pPr>
      <w:ind w:left="720"/>
      <w:contextualSpacing/>
    </w:pPr>
  </w:style>
  <w:style w:type="character" w:customStyle="1" w:styleId="BodyText3Char">
    <w:name w:val="Body Text 3 Char"/>
    <w:basedOn w:val="DefaultParagraphFont"/>
    <w:link w:val="BodyText3"/>
    <w:rsid w:val="00DD6DD0"/>
    <w:rPr>
      <w:sz w:val="22"/>
    </w:rPr>
  </w:style>
  <w:style w:type="character" w:customStyle="1" w:styleId="BodyTextChar">
    <w:name w:val="Body Text Char"/>
    <w:aliases w:val="SCA Body Text Char,SCA Body Text1 Char,SCA Body Text2 Char,SCA Body Text11 Char"/>
    <w:basedOn w:val="DefaultParagraphFont"/>
    <w:link w:val="BodyText"/>
    <w:locked/>
    <w:rsid w:val="00DF65E9"/>
  </w:style>
  <w:style w:type="character" w:styleId="EndnoteReference">
    <w:name w:val="endnote reference"/>
    <w:basedOn w:val="DefaultParagraphFont"/>
    <w:semiHidden/>
    <w:rsid w:val="00865455"/>
    <w:rPr>
      <w:vertAlign w:val="superscript"/>
    </w:rPr>
  </w:style>
  <w:style w:type="paragraph" w:styleId="EndnoteText">
    <w:name w:val="endnote text"/>
    <w:basedOn w:val="Normal"/>
    <w:link w:val="EndnoteTextChar"/>
    <w:uiPriority w:val="99"/>
    <w:semiHidden/>
    <w:unhideWhenUsed/>
    <w:rsid w:val="00F1455E"/>
  </w:style>
  <w:style w:type="character" w:customStyle="1" w:styleId="EndnoteTextChar">
    <w:name w:val="Endnote Text Char"/>
    <w:basedOn w:val="DefaultParagraphFont"/>
    <w:link w:val="EndnoteText"/>
    <w:uiPriority w:val="99"/>
    <w:semiHidden/>
    <w:rsid w:val="00F1455E"/>
  </w:style>
  <w:style w:type="character" w:styleId="UnresolvedMention">
    <w:name w:val="Unresolved Mention"/>
    <w:basedOn w:val="DefaultParagraphFont"/>
    <w:uiPriority w:val="99"/>
    <w:semiHidden/>
    <w:unhideWhenUsed/>
    <w:rsid w:val="009D73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729291">
      <w:bodyDiv w:val="1"/>
      <w:marLeft w:val="0"/>
      <w:marRight w:val="0"/>
      <w:marTop w:val="0"/>
      <w:marBottom w:val="0"/>
      <w:divBdr>
        <w:top w:val="none" w:sz="0" w:space="0" w:color="auto"/>
        <w:left w:val="none" w:sz="0" w:space="0" w:color="auto"/>
        <w:bottom w:val="none" w:sz="0" w:space="0" w:color="auto"/>
        <w:right w:val="none" w:sz="0" w:space="0" w:color="auto"/>
      </w:divBdr>
    </w:div>
    <w:div w:id="208345114">
      <w:bodyDiv w:val="1"/>
      <w:marLeft w:val="0"/>
      <w:marRight w:val="0"/>
      <w:marTop w:val="0"/>
      <w:marBottom w:val="0"/>
      <w:divBdr>
        <w:top w:val="none" w:sz="0" w:space="0" w:color="auto"/>
        <w:left w:val="none" w:sz="0" w:space="0" w:color="auto"/>
        <w:bottom w:val="none" w:sz="0" w:space="0" w:color="auto"/>
        <w:right w:val="none" w:sz="0" w:space="0" w:color="auto"/>
      </w:divBdr>
    </w:div>
    <w:div w:id="302387742">
      <w:bodyDiv w:val="1"/>
      <w:marLeft w:val="0"/>
      <w:marRight w:val="0"/>
      <w:marTop w:val="0"/>
      <w:marBottom w:val="0"/>
      <w:divBdr>
        <w:top w:val="none" w:sz="0" w:space="0" w:color="auto"/>
        <w:left w:val="none" w:sz="0" w:space="0" w:color="auto"/>
        <w:bottom w:val="none" w:sz="0" w:space="0" w:color="auto"/>
        <w:right w:val="none" w:sz="0" w:space="0" w:color="auto"/>
      </w:divBdr>
    </w:div>
    <w:div w:id="308675585">
      <w:bodyDiv w:val="1"/>
      <w:marLeft w:val="0"/>
      <w:marRight w:val="0"/>
      <w:marTop w:val="0"/>
      <w:marBottom w:val="0"/>
      <w:divBdr>
        <w:top w:val="none" w:sz="0" w:space="0" w:color="auto"/>
        <w:left w:val="none" w:sz="0" w:space="0" w:color="auto"/>
        <w:bottom w:val="none" w:sz="0" w:space="0" w:color="auto"/>
        <w:right w:val="none" w:sz="0" w:space="0" w:color="auto"/>
      </w:divBdr>
    </w:div>
    <w:div w:id="761729074">
      <w:bodyDiv w:val="1"/>
      <w:marLeft w:val="0"/>
      <w:marRight w:val="0"/>
      <w:marTop w:val="0"/>
      <w:marBottom w:val="0"/>
      <w:divBdr>
        <w:top w:val="none" w:sz="0" w:space="0" w:color="auto"/>
        <w:left w:val="none" w:sz="0" w:space="0" w:color="auto"/>
        <w:bottom w:val="none" w:sz="0" w:space="0" w:color="auto"/>
        <w:right w:val="none" w:sz="0" w:space="0" w:color="auto"/>
      </w:divBdr>
    </w:div>
    <w:div w:id="786046575">
      <w:bodyDiv w:val="1"/>
      <w:marLeft w:val="0"/>
      <w:marRight w:val="0"/>
      <w:marTop w:val="0"/>
      <w:marBottom w:val="0"/>
      <w:divBdr>
        <w:top w:val="none" w:sz="0" w:space="0" w:color="auto"/>
        <w:left w:val="none" w:sz="0" w:space="0" w:color="auto"/>
        <w:bottom w:val="none" w:sz="0" w:space="0" w:color="auto"/>
        <w:right w:val="none" w:sz="0" w:space="0" w:color="auto"/>
      </w:divBdr>
    </w:div>
    <w:div w:id="1293169512">
      <w:bodyDiv w:val="1"/>
      <w:marLeft w:val="0"/>
      <w:marRight w:val="0"/>
      <w:marTop w:val="0"/>
      <w:marBottom w:val="0"/>
      <w:divBdr>
        <w:top w:val="none" w:sz="0" w:space="0" w:color="auto"/>
        <w:left w:val="none" w:sz="0" w:space="0" w:color="auto"/>
        <w:bottom w:val="none" w:sz="0" w:space="0" w:color="auto"/>
        <w:right w:val="none" w:sz="0" w:space="0" w:color="auto"/>
      </w:divBdr>
    </w:div>
    <w:div w:id="1493184600">
      <w:bodyDiv w:val="1"/>
      <w:marLeft w:val="0"/>
      <w:marRight w:val="0"/>
      <w:marTop w:val="0"/>
      <w:marBottom w:val="0"/>
      <w:divBdr>
        <w:top w:val="none" w:sz="0" w:space="0" w:color="auto"/>
        <w:left w:val="none" w:sz="0" w:space="0" w:color="auto"/>
        <w:bottom w:val="none" w:sz="0" w:space="0" w:color="auto"/>
        <w:right w:val="none" w:sz="0" w:space="0" w:color="auto"/>
      </w:divBdr>
    </w:div>
    <w:div w:id="1615747033">
      <w:bodyDiv w:val="1"/>
      <w:marLeft w:val="0"/>
      <w:marRight w:val="0"/>
      <w:marTop w:val="0"/>
      <w:marBottom w:val="0"/>
      <w:divBdr>
        <w:top w:val="none" w:sz="0" w:space="0" w:color="auto"/>
        <w:left w:val="none" w:sz="0" w:space="0" w:color="auto"/>
        <w:bottom w:val="none" w:sz="0" w:space="0" w:color="auto"/>
        <w:right w:val="none" w:sz="0" w:space="0" w:color="auto"/>
      </w:divBdr>
    </w:div>
    <w:div w:id="1622148450">
      <w:bodyDiv w:val="1"/>
      <w:marLeft w:val="0"/>
      <w:marRight w:val="0"/>
      <w:marTop w:val="0"/>
      <w:marBottom w:val="0"/>
      <w:divBdr>
        <w:top w:val="none" w:sz="0" w:space="0" w:color="auto"/>
        <w:left w:val="none" w:sz="0" w:space="0" w:color="auto"/>
        <w:bottom w:val="none" w:sz="0" w:space="0" w:color="auto"/>
        <w:right w:val="none" w:sz="0" w:space="0" w:color="auto"/>
      </w:divBdr>
    </w:div>
    <w:div w:id="1936861967">
      <w:bodyDiv w:val="1"/>
      <w:marLeft w:val="0"/>
      <w:marRight w:val="0"/>
      <w:marTop w:val="0"/>
      <w:marBottom w:val="0"/>
      <w:divBdr>
        <w:top w:val="none" w:sz="0" w:space="0" w:color="auto"/>
        <w:left w:val="none" w:sz="0" w:space="0" w:color="auto"/>
        <w:bottom w:val="none" w:sz="0" w:space="0" w:color="auto"/>
        <w:right w:val="none" w:sz="0" w:space="0" w:color="auto"/>
      </w:divBdr>
    </w:div>
    <w:div w:id="1983079317">
      <w:bodyDiv w:val="1"/>
      <w:marLeft w:val="0"/>
      <w:marRight w:val="0"/>
      <w:marTop w:val="0"/>
      <w:marBottom w:val="0"/>
      <w:divBdr>
        <w:top w:val="none" w:sz="0" w:space="0" w:color="auto"/>
        <w:left w:val="none" w:sz="0" w:space="0" w:color="auto"/>
        <w:bottom w:val="none" w:sz="0" w:space="0" w:color="auto"/>
        <w:right w:val="none" w:sz="0" w:space="0" w:color="auto"/>
      </w:divBdr>
    </w:div>
    <w:div w:id="1990673919">
      <w:bodyDiv w:val="1"/>
      <w:marLeft w:val="0"/>
      <w:marRight w:val="0"/>
      <w:marTop w:val="0"/>
      <w:marBottom w:val="0"/>
      <w:divBdr>
        <w:top w:val="none" w:sz="0" w:space="0" w:color="auto"/>
        <w:left w:val="none" w:sz="0" w:space="0" w:color="auto"/>
        <w:bottom w:val="none" w:sz="0" w:space="0" w:color="auto"/>
        <w:right w:val="none" w:sz="0" w:space="0" w:color="auto"/>
      </w:divBdr>
    </w:div>
    <w:div w:id="206432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roy.belden@ge.com" TargetMode="External"/><Relationship Id="rId18" Type="http://schemas.openxmlformats.org/officeDocument/2006/relationships/hyperlink" Target="mailto:NSRsubmittals@epa.gov" TargetMode="External"/><Relationship Id="rId26" Type="http://schemas.openxmlformats.org/officeDocument/2006/relationships/header" Target="header7.xml"/><Relationship Id="rId39" Type="http://schemas.openxmlformats.org/officeDocument/2006/relationships/hyperlink" Target="http://www.ecfr.gov/cgi-bin/text-idx?c=ecfr&amp;rgn=div6&amp;view=text&amp;node=40:7.0.1.1.1.1&amp;idno=40" TargetMode="External"/><Relationship Id="rId21" Type="http://schemas.openxmlformats.org/officeDocument/2006/relationships/hyperlink" Target="mailto:Diana.Csank@sierraclub.org" TargetMode="External"/><Relationship Id="rId34" Type="http://schemas.openxmlformats.org/officeDocument/2006/relationships/header" Target="header15.xml"/><Relationship Id="rId42" Type="http://schemas.openxmlformats.org/officeDocument/2006/relationships/header" Target="header21.xml"/><Relationship Id="rId47" Type="http://schemas.openxmlformats.org/officeDocument/2006/relationships/header" Target="header23.xml"/><Relationship Id="rId50" Type="http://schemas.openxmlformats.org/officeDocument/2006/relationships/header" Target="header26.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SCO@dep.state.fl.us" TargetMode="External"/><Relationship Id="rId25" Type="http://schemas.openxmlformats.org/officeDocument/2006/relationships/header" Target="header6.xml"/><Relationship Id="rId33" Type="http://schemas.openxmlformats.org/officeDocument/2006/relationships/header" Target="header14.xml"/><Relationship Id="rId38" Type="http://schemas.openxmlformats.org/officeDocument/2006/relationships/hyperlink" Target="http://www.ecfr.gov/cgi-bin/text-idx?c=ecfr&amp;SID=e8388050f51c9ef7022b5a12cc833119&amp;rgn=div5&amp;view=text&amp;node=40:34.0.1.1.5&amp;idno=40" TargetMode="External"/><Relationship Id="rId46" Type="http://schemas.openxmlformats.org/officeDocument/2006/relationships/header" Target="header22.xml"/><Relationship Id="rId2" Type="http://schemas.openxmlformats.org/officeDocument/2006/relationships/numbering" Target="numbering.xml"/><Relationship Id="rId16" Type="http://schemas.openxmlformats.org/officeDocument/2006/relationships/hyperlink" Target="mailto:SWD.air@dep.state.fl.us" TargetMode="External"/><Relationship Id="rId20" Type="http://schemas.openxmlformats.org/officeDocument/2006/relationships/hyperlink" Target="mailto:tess.fields@sierraclub.org" TargetMode="External"/><Relationship Id="rId29" Type="http://schemas.openxmlformats.org/officeDocument/2006/relationships/header" Target="header10.xml"/><Relationship Id="rId41" Type="http://schemas.openxmlformats.org/officeDocument/2006/relationships/header" Target="header20.xml"/><Relationship Id="rId54" Type="http://schemas.openxmlformats.org/officeDocument/2006/relationships/header" Target="header3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3.xml"/><Relationship Id="rId32" Type="http://schemas.openxmlformats.org/officeDocument/2006/relationships/header" Target="header13.xml"/><Relationship Id="rId37" Type="http://schemas.openxmlformats.org/officeDocument/2006/relationships/header" Target="header18.xml"/><Relationship Id="rId40" Type="http://schemas.openxmlformats.org/officeDocument/2006/relationships/header" Target="header19.xml"/><Relationship Id="rId45" Type="http://schemas.openxmlformats.org/officeDocument/2006/relationships/hyperlink" Target="http://www.ecfr.gov/cgi-bin/text-idx?c=ecfr&amp;rgn=div6&amp;view=text&amp;node=40:7.0.1.1.1.1&amp;idno=40" TargetMode="External"/><Relationship Id="rId53" Type="http://schemas.openxmlformats.org/officeDocument/2006/relationships/header" Target="header29.xml"/><Relationship Id="rId5" Type="http://schemas.openxmlformats.org/officeDocument/2006/relationships/webSettings" Target="webSettings.xml"/><Relationship Id="rId15" Type="http://schemas.openxmlformats.org/officeDocument/2006/relationships/hyperlink" Target="mailto:Ken_Kosky@golder.com" TargetMode="External"/><Relationship Id="rId23" Type="http://schemas.openxmlformats.org/officeDocument/2006/relationships/header" Target="header5.xml"/><Relationship Id="rId28" Type="http://schemas.openxmlformats.org/officeDocument/2006/relationships/header" Target="header9.xml"/><Relationship Id="rId36" Type="http://schemas.openxmlformats.org/officeDocument/2006/relationships/header" Target="header17.xml"/><Relationship Id="rId49" Type="http://schemas.openxmlformats.org/officeDocument/2006/relationships/header" Target="header25.xml"/><Relationship Id="rId10" Type="http://schemas.openxmlformats.org/officeDocument/2006/relationships/footer" Target="footer1.xml"/><Relationship Id="rId19" Type="http://schemas.openxmlformats.org/officeDocument/2006/relationships/hyperlink" Target="mailto:acoe@earthjustice.org" TargetMode="External"/><Relationship Id="rId31" Type="http://schemas.openxmlformats.org/officeDocument/2006/relationships/header" Target="header12.xml"/><Relationship Id="rId44" Type="http://schemas.openxmlformats.org/officeDocument/2006/relationships/hyperlink" Target="http://www.ecfr.gov/cgi-bin/text-idx?c=ecfr&amp;SID=e8388050f51c9ef7022b5a12cc833119&amp;rgn=div5&amp;view=text&amp;node=40:34.0.1.1.5&amp;idno=40" TargetMode="External"/><Relationship Id="rId52" Type="http://schemas.openxmlformats.org/officeDocument/2006/relationships/header" Target="header2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mohammad@golder.com" TargetMode="Externa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6.xml"/><Relationship Id="rId43" Type="http://schemas.openxmlformats.org/officeDocument/2006/relationships/hyperlink" Target="http://www.ecfr.gov/cgi-bin/text-idx?c=ecfr&amp;SID=365e16ab0acbe5bdfded3e3fa4452754&amp;rgn=div6&amp;view=text&amp;node=40:17.0.1.1.9.9&amp;idno=40" TargetMode="External"/><Relationship Id="rId48" Type="http://schemas.openxmlformats.org/officeDocument/2006/relationships/header" Target="header24.xm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27.xm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52362-A9BF-4352-A5FE-EA5E86715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1700</TotalTime>
  <Pages>26</Pages>
  <Words>11843</Words>
  <Characters>68697</Characters>
  <Application>Microsoft Office Word</Application>
  <DocSecurity>0</DocSecurity>
  <Lines>572</Lines>
  <Paragraphs>160</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80380</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Rabbath, Lara</cp:lastModifiedBy>
  <cp:revision>384</cp:revision>
  <cp:lastPrinted>2018-04-26T19:25:00Z</cp:lastPrinted>
  <dcterms:created xsi:type="dcterms:W3CDTF">2018-03-16T19:04:00Z</dcterms:created>
  <dcterms:modified xsi:type="dcterms:W3CDTF">2018-05-25T17:07:00Z</dcterms:modified>
</cp:coreProperties>
</file>